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2AAEC" w14:textId="5BFE43F1" w:rsidR="008A4CA9" w:rsidRPr="00F33246" w:rsidRDefault="008A4CA9" w:rsidP="001C7A31">
      <w:pPr>
        <w:rPr>
          <w:rFonts w:ascii="Lad" w:eastAsia="Tahoma" w:hAnsi="Lad" w:cs="Lad"/>
          <w:b/>
          <w:bCs/>
          <w:lang w:val="fr-FR"/>
        </w:rPr>
      </w:pPr>
      <w:r w:rsidRPr="00F33246">
        <w:rPr>
          <w:rFonts w:ascii="Lad" w:eastAsia="Tahoma" w:hAnsi="Lad" w:cs="Lad"/>
          <w:b/>
          <w:bCs/>
          <w:lang w:val="fr-FR"/>
        </w:rPr>
        <w:t>Communiqué de presse</w:t>
      </w:r>
    </w:p>
    <w:p w14:paraId="69A3C1C0" w14:textId="7B2A3BF7" w:rsidR="008A4CA9" w:rsidRPr="004B6C1D" w:rsidRDefault="008A4CA9" w:rsidP="008A4CA9">
      <w:pPr>
        <w:rPr>
          <w:rFonts w:ascii="Lad" w:eastAsia="Tahoma" w:hAnsi="Lad" w:cs="Lad"/>
          <w:lang w:val="fr-FR"/>
        </w:rPr>
      </w:pPr>
      <w:r w:rsidRPr="004B6C1D">
        <w:rPr>
          <w:rFonts w:ascii="Lad" w:eastAsia="Tahoma" w:hAnsi="Lad" w:cs="Lad"/>
          <w:lang w:val="fr-FR"/>
        </w:rPr>
        <w:t xml:space="preserve">Pour télécharger les documents de presse, veuillez cliquer </w:t>
      </w:r>
      <w:hyperlink r:id="rId10" w:history="1">
        <w:r w:rsidRPr="00D83D83">
          <w:rPr>
            <w:rStyle w:val="Hyperlink"/>
            <w:rFonts w:ascii="Lad" w:eastAsia="Tahoma" w:hAnsi="Lad" w:cs="Lad"/>
            <w:color w:val="156082" w:themeColor="accent1"/>
            <w:lang w:val="fr-FR"/>
          </w:rPr>
          <w:t>ici</w:t>
        </w:r>
      </w:hyperlink>
      <w:r w:rsidRPr="00D83D83">
        <w:rPr>
          <w:rFonts w:ascii="Lad" w:eastAsia="Tahoma" w:hAnsi="Lad" w:cs="Lad"/>
          <w:lang w:val="fr-FR"/>
        </w:rPr>
        <w:t>.</w:t>
      </w:r>
    </w:p>
    <w:p w14:paraId="7D32327F" w14:textId="77777777" w:rsidR="00C7521F" w:rsidRPr="008A4CA9" w:rsidRDefault="00C7521F">
      <w:pPr>
        <w:pStyle w:val="Body"/>
        <w:spacing w:after="0"/>
        <w:rPr>
          <w:rFonts w:ascii="Arial" w:eastAsia="Arial" w:hAnsi="Arial" w:cs="Arial"/>
          <w:b/>
          <w:bCs/>
          <w:sz w:val="30"/>
          <w:szCs w:val="30"/>
          <w:lang w:val="fr-FR"/>
        </w:rPr>
      </w:pPr>
    </w:p>
    <w:p w14:paraId="565C53CB" w14:textId="54C3A4A5" w:rsidR="0004765E" w:rsidRPr="0004765E" w:rsidRDefault="0004765E" w:rsidP="0004765E">
      <w:pPr>
        <w:pStyle w:val="Body"/>
        <w:jc w:val="center"/>
        <w:rPr>
          <w:rFonts w:ascii="Arial" w:hAnsi="Arial"/>
          <w:b/>
          <w:bCs/>
          <w:sz w:val="30"/>
          <w:szCs w:val="30"/>
          <w:lang w:val="fr-FR"/>
        </w:rPr>
      </w:pPr>
      <w:r w:rsidRPr="0004765E">
        <w:rPr>
          <w:rFonts w:ascii="Arial" w:hAnsi="Arial"/>
          <w:b/>
          <w:bCs/>
          <w:sz w:val="30"/>
          <w:szCs w:val="30"/>
          <w:lang w:val="fr-FR"/>
        </w:rPr>
        <w:t>Le Louvre Abu Dhabi et Richard Mille annoncent l’</w:t>
      </w:r>
      <w:r>
        <w:rPr>
          <w:rFonts w:ascii="Arial" w:hAnsi="Arial"/>
          <w:b/>
          <w:bCs/>
          <w:sz w:val="30"/>
          <w:szCs w:val="30"/>
          <w:lang w:val="fr-FR"/>
        </w:rPr>
        <w:t>inauguration</w:t>
      </w:r>
      <w:r w:rsidRPr="0004765E">
        <w:rPr>
          <w:rFonts w:ascii="Arial" w:hAnsi="Arial"/>
          <w:b/>
          <w:bCs/>
          <w:sz w:val="30"/>
          <w:szCs w:val="30"/>
          <w:lang w:val="fr-FR"/>
        </w:rPr>
        <w:t xml:space="preserve"> de l’exposition Art Here 2025.</w:t>
      </w:r>
    </w:p>
    <w:p w14:paraId="7A1158DB" w14:textId="3F3361E9" w:rsidR="0004765E" w:rsidRDefault="0004765E" w:rsidP="0004765E">
      <w:pPr>
        <w:pStyle w:val="Body"/>
        <w:jc w:val="center"/>
        <w:rPr>
          <w:rFonts w:ascii="Arial" w:hAnsi="Arial"/>
          <w:i/>
          <w:iCs/>
          <w:sz w:val="22"/>
          <w:szCs w:val="22"/>
          <w:lang w:val="fr-FR"/>
        </w:rPr>
      </w:pPr>
      <w:r w:rsidRPr="0004765E">
        <w:rPr>
          <w:rFonts w:ascii="Arial" w:hAnsi="Arial"/>
          <w:i/>
          <w:iCs/>
          <w:sz w:val="22"/>
          <w:szCs w:val="22"/>
          <w:lang w:val="fr-FR"/>
        </w:rPr>
        <w:t>Jusqu’au 28 décembre, cette cinquième édition</w:t>
      </w:r>
      <w:r w:rsidR="00821085">
        <w:rPr>
          <w:rFonts w:ascii="Arial" w:hAnsi="Arial"/>
          <w:i/>
          <w:iCs/>
          <w:sz w:val="22"/>
          <w:szCs w:val="22"/>
          <w:lang w:val="fr-FR"/>
        </w:rPr>
        <w:t xml:space="preserve"> d’Art Here</w:t>
      </w:r>
      <w:r w:rsidRPr="0004765E">
        <w:rPr>
          <w:rFonts w:ascii="Arial" w:hAnsi="Arial"/>
          <w:i/>
          <w:iCs/>
          <w:sz w:val="22"/>
          <w:szCs w:val="22"/>
          <w:lang w:val="fr-FR"/>
        </w:rPr>
        <w:t xml:space="preserve"> présente</w:t>
      </w:r>
      <w:r>
        <w:rPr>
          <w:rFonts w:ascii="Arial" w:hAnsi="Arial"/>
          <w:i/>
          <w:iCs/>
          <w:sz w:val="22"/>
          <w:szCs w:val="22"/>
          <w:lang w:val="fr-FR"/>
        </w:rPr>
        <w:t>ra</w:t>
      </w:r>
      <w:r w:rsidRPr="0004765E">
        <w:rPr>
          <w:rFonts w:ascii="Arial" w:hAnsi="Arial"/>
          <w:i/>
          <w:iCs/>
          <w:sz w:val="22"/>
          <w:szCs w:val="22"/>
          <w:lang w:val="fr-FR"/>
        </w:rPr>
        <w:t xml:space="preserve"> six œuvres présélectionnées pour le Richard Mille Art Prize, autour du thème « Ombres ».</w:t>
      </w:r>
    </w:p>
    <w:p w14:paraId="4BC062E7" w14:textId="02D1665D" w:rsidR="00C261EE" w:rsidRPr="00C261EE" w:rsidRDefault="00C261EE" w:rsidP="00C261EE">
      <w:pPr>
        <w:pStyle w:val="Body"/>
        <w:spacing w:after="0"/>
        <w:rPr>
          <w:rFonts w:ascii="Arial" w:hAnsi="Arial"/>
          <w:i/>
          <w:iCs/>
          <w:sz w:val="22"/>
          <w:szCs w:val="22"/>
        </w:rPr>
      </w:pPr>
      <w:r w:rsidRPr="00C261EE">
        <w:rPr>
          <w:rFonts w:ascii="Arial" w:hAnsi="Arial"/>
          <w:i/>
          <w:iCs/>
          <w:noProof/>
          <w:sz w:val="22"/>
          <w:szCs w:val="22"/>
        </w:rPr>
        <w:drawing>
          <wp:inline distT="0" distB="0" distL="0" distR="0" wp14:anchorId="3347276E" wp14:editId="5B951EF4">
            <wp:extent cx="5715000" cy="1600200"/>
            <wp:effectExtent l="0" t="0" r="0" b="0"/>
            <wp:docPr id="496623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p>
    <w:p w14:paraId="44B887A4" w14:textId="19732FF0" w:rsidR="00C261EE" w:rsidRDefault="00C261EE" w:rsidP="00C261EE">
      <w:pPr>
        <w:pStyle w:val="Body"/>
        <w:spacing w:after="0"/>
        <w:jc w:val="center"/>
        <w:rPr>
          <w:rFonts w:ascii="Arial" w:hAnsi="Arial"/>
          <w:i/>
          <w:iCs/>
          <w:sz w:val="22"/>
          <w:szCs w:val="22"/>
        </w:rPr>
      </w:pPr>
      <w:r w:rsidRPr="00C261EE">
        <w:rPr>
          <w:rFonts w:ascii="Arial" w:hAnsi="Arial"/>
          <w:i/>
          <w:iCs/>
          <w:sz w:val="22"/>
          <w:szCs w:val="22"/>
        </w:rPr>
        <w:t>© Richard Mille 2025</w:t>
      </w:r>
    </w:p>
    <w:p w14:paraId="0E5C7472" w14:textId="77777777" w:rsidR="00C261EE" w:rsidRPr="00C261EE" w:rsidRDefault="00C261EE" w:rsidP="00C261EE">
      <w:pPr>
        <w:pStyle w:val="Body"/>
        <w:spacing w:after="0"/>
        <w:jc w:val="center"/>
        <w:rPr>
          <w:rFonts w:ascii="Arial" w:hAnsi="Arial"/>
          <w:i/>
          <w:iCs/>
          <w:sz w:val="22"/>
          <w:szCs w:val="22"/>
        </w:rPr>
      </w:pPr>
    </w:p>
    <w:p w14:paraId="7D323282" w14:textId="774D1D14" w:rsidR="00C7521F" w:rsidRPr="0004765E" w:rsidRDefault="0004765E" w:rsidP="0004765E">
      <w:pPr>
        <w:pStyle w:val="Body"/>
        <w:jc w:val="both"/>
        <w:rPr>
          <w:rFonts w:ascii="Arial" w:eastAsia="Arial" w:hAnsi="Arial" w:cs="Arial"/>
          <w:sz w:val="20"/>
          <w:szCs w:val="20"/>
          <w:lang w:val="fr-FR"/>
        </w:rPr>
      </w:pPr>
      <w:r w:rsidRPr="0004765E">
        <w:rPr>
          <w:rFonts w:ascii="Arial" w:hAnsi="Arial"/>
          <w:b/>
          <w:bCs/>
          <w:sz w:val="20"/>
          <w:szCs w:val="20"/>
          <w:lang w:val="fr-FR"/>
        </w:rPr>
        <w:t>Abu Dhabi, Émirats arabes unis,</w:t>
      </w:r>
      <w:r>
        <w:rPr>
          <w:rFonts w:ascii="Arial" w:hAnsi="Arial"/>
          <w:b/>
          <w:bCs/>
          <w:sz w:val="20"/>
          <w:szCs w:val="20"/>
          <w:lang w:val="fr-FR"/>
        </w:rPr>
        <w:t xml:space="preserve"> </w:t>
      </w:r>
      <w:r w:rsidRPr="0004765E">
        <w:rPr>
          <w:rFonts w:ascii="Arial" w:hAnsi="Arial"/>
          <w:b/>
          <w:bCs/>
          <w:sz w:val="20"/>
          <w:szCs w:val="20"/>
          <w:lang w:val="fr-FR"/>
        </w:rPr>
        <w:t>le 1</w:t>
      </w:r>
      <w:r w:rsidR="00C261EE">
        <w:rPr>
          <w:rFonts w:ascii="Arial" w:hAnsi="Arial"/>
          <w:b/>
          <w:bCs/>
          <w:sz w:val="20"/>
          <w:szCs w:val="20"/>
          <w:lang w:val="fr-FR"/>
        </w:rPr>
        <w:t>3</w:t>
      </w:r>
      <w:r w:rsidRPr="0004765E">
        <w:rPr>
          <w:rFonts w:ascii="Arial" w:hAnsi="Arial"/>
          <w:b/>
          <w:bCs/>
          <w:sz w:val="20"/>
          <w:szCs w:val="20"/>
          <w:lang w:val="fr-FR"/>
        </w:rPr>
        <w:t xml:space="preserve"> octobre 2025</w:t>
      </w:r>
      <w:r w:rsidRPr="0004765E">
        <w:rPr>
          <w:rFonts w:ascii="Arial" w:hAnsi="Arial"/>
          <w:sz w:val="20"/>
          <w:szCs w:val="20"/>
          <w:lang w:val="fr-FR"/>
        </w:rPr>
        <w:t xml:space="preserve"> : Le Louvre Abu Dhabi et la marque d’horlogerie suisse de luxe Richard Mille ont inauguré la cinquième édition de l’exposition Louvre Abu Dhabi </w:t>
      </w:r>
      <w:r w:rsidRPr="00D56F99">
        <w:rPr>
          <w:rFonts w:ascii="Arial" w:hAnsi="Arial"/>
          <w:i/>
          <w:iCs/>
          <w:sz w:val="20"/>
          <w:szCs w:val="20"/>
          <w:lang w:val="fr-FR"/>
        </w:rPr>
        <w:t>Art Here</w:t>
      </w:r>
      <w:r w:rsidRPr="0004765E">
        <w:rPr>
          <w:rFonts w:ascii="Arial" w:hAnsi="Arial"/>
          <w:sz w:val="20"/>
          <w:szCs w:val="20"/>
          <w:lang w:val="fr-FR"/>
        </w:rPr>
        <w:t>, qui présente</w:t>
      </w:r>
      <w:r w:rsidR="00AA091C">
        <w:rPr>
          <w:rFonts w:ascii="Arial" w:hAnsi="Arial"/>
          <w:sz w:val="20"/>
          <w:szCs w:val="20"/>
          <w:lang w:val="fr-FR"/>
        </w:rPr>
        <w:t>ra</w:t>
      </w:r>
      <w:r w:rsidRPr="0004765E">
        <w:rPr>
          <w:rFonts w:ascii="Arial" w:hAnsi="Arial"/>
          <w:sz w:val="20"/>
          <w:szCs w:val="20"/>
          <w:lang w:val="fr-FR"/>
        </w:rPr>
        <w:t xml:space="preserve"> six œuvres contemporaines réalisées par sept artistes présélectionnés pour le Richard Mille Art Prize. </w:t>
      </w:r>
      <w:r w:rsidR="004A3B05" w:rsidRPr="006B029F">
        <w:rPr>
          <w:rFonts w:ascii="Arial" w:hAnsi="Arial"/>
          <w:sz w:val="20"/>
          <w:szCs w:val="20"/>
          <w:lang w:val="fr-FR"/>
        </w:rPr>
        <w:t>Visible</w:t>
      </w:r>
      <w:r w:rsidRPr="0004765E">
        <w:rPr>
          <w:rFonts w:ascii="Arial" w:hAnsi="Arial"/>
          <w:sz w:val="20"/>
          <w:szCs w:val="20"/>
          <w:lang w:val="fr-FR"/>
        </w:rPr>
        <w:t xml:space="preserve"> jusqu’au 28 décembre, l’exposition réaffirme</w:t>
      </w:r>
      <w:r w:rsidR="00AA091C">
        <w:rPr>
          <w:rFonts w:ascii="Arial" w:hAnsi="Arial"/>
          <w:sz w:val="20"/>
          <w:szCs w:val="20"/>
          <w:lang w:val="fr-FR"/>
        </w:rPr>
        <w:t>ra</w:t>
      </w:r>
      <w:r w:rsidRPr="0004765E">
        <w:rPr>
          <w:rFonts w:ascii="Arial" w:hAnsi="Arial"/>
          <w:sz w:val="20"/>
          <w:szCs w:val="20"/>
          <w:lang w:val="fr-FR"/>
        </w:rPr>
        <w:t xml:space="preserve"> l’engagement du musée à soutenir la création artistique contemporaine de la région et au-delà.</w:t>
      </w:r>
    </w:p>
    <w:p w14:paraId="26258505" w14:textId="77777777" w:rsidR="004A3B05" w:rsidRDefault="004A3B05" w:rsidP="00D56F99">
      <w:pPr>
        <w:pStyle w:val="Body"/>
        <w:jc w:val="both"/>
        <w:rPr>
          <w:rFonts w:ascii="Arial" w:hAnsi="Arial"/>
          <w:sz w:val="20"/>
          <w:szCs w:val="20"/>
          <w:lang w:val="fr-FR"/>
        </w:rPr>
      </w:pPr>
      <w:r w:rsidRPr="006B029F">
        <w:rPr>
          <w:rFonts w:ascii="Arial" w:hAnsi="Arial"/>
          <w:sz w:val="20"/>
          <w:szCs w:val="20"/>
          <w:lang w:val="fr-FR"/>
        </w:rPr>
        <w:t>Pour la cinquième année consécutive, Art Here s’impose comme un rendez-vous incontournable, offrant aux artistes l’opportunité de présenter des créations audacieuses au cœur des espaces emblématiques du musée, et de dialoguer avec un public venu du monde entier</w:t>
      </w:r>
      <w:r w:rsidR="00D56F99" w:rsidRPr="006B029F">
        <w:rPr>
          <w:rFonts w:ascii="Arial" w:hAnsi="Arial"/>
          <w:sz w:val="20"/>
          <w:szCs w:val="20"/>
          <w:lang w:val="fr-FR"/>
        </w:rPr>
        <w:t xml:space="preserve">. </w:t>
      </w:r>
      <w:r w:rsidRPr="006B029F">
        <w:rPr>
          <w:rFonts w:ascii="Arial" w:hAnsi="Arial"/>
          <w:sz w:val="20"/>
          <w:szCs w:val="20"/>
          <w:lang w:val="fr-FR"/>
        </w:rPr>
        <w:t>Cette initiative confirme le rôle du Louvre Abu Dhabi comme catalyseur de dialogues culturels et de découvertes, tout en soutenant la créativité et les talents artistiques issus de différentes régions du monde.</w:t>
      </w:r>
    </w:p>
    <w:p w14:paraId="4E5B100D" w14:textId="1683A64E" w:rsidR="004A3B05" w:rsidRPr="004A3B05" w:rsidRDefault="00D56F99" w:rsidP="00D56F99">
      <w:pPr>
        <w:pStyle w:val="Body"/>
        <w:jc w:val="both"/>
        <w:rPr>
          <w:rFonts w:ascii="Arial" w:hAnsi="Arial"/>
          <w:sz w:val="20"/>
          <w:szCs w:val="20"/>
          <w:lang w:val="fr-FR"/>
        </w:rPr>
      </w:pPr>
      <w:r w:rsidRPr="00D56F99">
        <w:rPr>
          <w:rFonts w:ascii="Arial" w:hAnsi="Arial"/>
          <w:sz w:val="20"/>
          <w:szCs w:val="20"/>
          <w:lang w:val="fr-FR"/>
        </w:rPr>
        <w:t>Placée sous l</w:t>
      </w:r>
      <w:r w:rsidR="00821085">
        <w:rPr>
          <w:rFonts w:ascii="Arial" w:hAnsi="Arial"/>
          <w:sz w:val="20"/>
          <w:szCs w:val="20"/>
          <w:lang w:val="fr-FR"/>
        </w:rPr>
        <w:t xml:space="preserve">a direction curatoriale de la commissaire invitée </w:t>
      </w:r>
      <w:r w:rsidRPr="00D56F99">
        <w:rPr>
          <w:rFonts w:ascii="Arial" w:hAnsi="Arial"/>
          <w:sz w:val="20"/>
          <w:szCs w:val="20"/>
          <w:lang w:val="fr-FR"/>
        </w:rPr>
        <w:t xml:space="preserve">Sophie Mayuko Arni, l’édition </w:t>
      </w:r>
      <w:r w:rsidRPr="00D56F99">
        <w:rPr>
          <w:rFonts w:ascii="Arial" w:hAnsi="Arial"/>
          <w:i/>
          <w:iCs/>
          <w:sz w:val="20"/>
          <w:szCs w:val="20"/>
          <w:lang w:val="fr-FR"/>
        </w:rPr>
        <w:t>2025 d’Art Here</w:t>
      </w:r>
      <w:r w:rsidRPr="00D56F99">
        <w:rPr>
          <w:rFonts w:ascii="Arial" w:hAnsi="Arial"/>
          <w:sz w:val="20"/>
          <w:szCs w:val="20"/>
          <w:lang w:val="fr-FR"/>
        </w:rPr>
        <w:t xml:space="preserve"> a </w:t>
      </w:r>
      <w:r w:rsidR="00821085">
        <w:rPr>
          <w:rFonts w:ascii="Arial" w:hAnsi="Arial"/>
          <w:sz w:val="20"/>
          <w:szCs w:val="20"/>
          <w:lang w:val="fr-FR"/>
        </w:rPr>
        <w:t>appelé</w:t>
      </w:r>
      <w:r w:rsidRPr="00D56F99">
        <w:rPr>
          <w:rFonts w:ascii="Arial" w:hAnsi="Arial"/>
          <w:sz w:val="20"/>
          <w:szCs w:val="20"/>
          <w:lang w:val="fr-FR"/>
        </w:rPr>
        <w:t xml:space="preserve"> les artistes à répondre au thème « Ombres », en explorant le jeu entre lumière et absence, visibilité et dissimulation, ainsi que les dimensions multiples de la mémoire, de l’identité et de la transformation. Reflétant la richesse de la créativité régionale, cette édition a accueilli des propositions d’artistes installés dans les pays du CCG et au Japon, ainsi que d’artistes originaires de la région MENA ayant un lien avec le CCG</w:t>
      </w:r>
    </w:p>
    <w:p w14:paraId="7D323286" w14:textId="19FBA028" w:rsidR="00C7521F" w:rsidRPr="004A3B05" w:rsidRDefault="00773120" w:rsidP="002C1393">
      <w:pPr>
        <w:pStyle w:val="Body"/>
        <w:jc w:val="both"/>
        <w:rPr>
          <w:rFonts w:ascii="Arial" w:hAnsi="Arial"/>
          <w:sz w:val="20"/>
          <w:szCs w:val="20"/>
          <w:lang w:val="fr-FR"/>
        </w:rPr>
      </w:pPr>
      <w:r w:rsidRPr="00773120">
        <w:rPr>
          <w:rFonts w:ascii="Arial" w:hAnsi="Arial"/>
          <w:b/>
          <w:bCs/>
          <w:sz w:val="20"/>
          <w:szCs w:val="20"/>
          <w:lang w:val="fr-FR"/>
        </w:rPr>
        <w:t xml:space="preserve">Manuel Rabaté, directeur du Louvre Abu Dhabi, </w:t>
      </w:r>
      <w:r w:rsidRPr="00773120">
        <w:rPr>
          <w:rFonts w:ascii="Arial" w:hAnsi="Arial"/>
          <w:sz w:val="20"/>
          <w:szCs w:val="20"/>
          <w:lang w:val="fr-FR"/>
        </w:rPr>
        <w:t>a déclaré :</w:t>
      </w:r>
      <w:r w:rsidR="004A3B05">
        <w:rPr>
          <w:rFonts w:ascii="Arial" w:hAnsi="Arial"/>
          <w:sz w:val="20"/>
          <w:szCs w:val="20"/>
          <w:lang w:val="fr-FR"/>
        </w:rPr>
        <w:t xml:space="preserve"> </w:t>
      </w:r>
      <w:r w:rsidRPr="00773120">
        <w:rPr>
          <w:rFonts w:ascii="Arial" w:hAnsi="Arial"/>
          <w:sz w:val="20"/>
          <w:szCs w:val="20"/>
          <w:lang w:val="fr-FR"/>
        </w:rPr>
        <w:t>« Le Louvre Abu Dhabi est fier d’inaugurer la cinquième édition d’</w:t>
      </w:r>
      <w:r w:rsidRPr="00773120">
        <w:rPr>
          <w:rFonts w:ascii="Arial" w:hAnsi="Arial"/>
          <w:i/>
          <w:iCs/>
          <w:sz w:val="20"/>
          <w:szCs w:val="20"/>
          <w:lang w:val="fr-FR"/>
        </w:rPr>
        <w:t>Art Here</w:t>
      </w:r>
      <w:r w:rsidRPr="00773120">
        <w:rPr>
          <w:rFonts w:ascii="Arial" w:hAnsi="Arial"/>
          <w:sz w:val="20"/>
          <w:szCs w:val="20"/>
          <w:lang w:val="fr-FR"/>
        </w:rPr>
        <w:t xml:space="preserve"> et de présenter ces œuvres remarquables au public. </w:t>
      </w:r>
      <w:r w:rsidRPr="00773120">
        <w:rPr>
          <w:rFonts w:ascii="Arial" w:hAnsi="Arial"/>
          <w:i/>
          <w:iCs/>
          <w:sz w:val="20"/>
          <w:szCs w:val="20"/>
          <w:lang w:val="fr-FR"/>
        </w:rPr>
        <w:t>Art Here</w:t>
      </w:r>
      <w:r w:rsidRPr="00773120">
        <w:rPr>
          <w:rFonts w:ascii="Arial" w:hAnsi="Arial"/>
          <w:sz w:val="20"/>
          <w:szCs w:val="20"/>
          <w:lang w:val="fr-FR"/>
        </w:rPr>
        <w:t xml:space="preserve"> est devenu l’une des initiatives les plus dynamiques du musée, célébrant la diversité des voix artistiques de la région et d’ailleurs. Les six œuvres présélectionnées invitent les visiteurs non seulement à voir, mais aussi à vivre et à interagir avec l’art contemporain d’une manière nouvelle. Grâce au commissariat attentif de Sophie Mayuko Arni, </w:t>
      </w:r>
      <w:r w:rsidRPr="00773120">
        <w:rPr>
          <w:rFonts w:ascii="Arial" w:hAnsi="Arial"/>
          <w:i/>
          <w:iCs/>
          <w:sz w:val="20"/>
          <w:szCs w:val="20"/>
          <w:lang w:val="fr-FR"/>
        </w:rPr>
        <w:t>Art Here</w:t>
      </w:r>
      <w:r w:rsidRPr="00773120">
        <w:rPr>
          <w:rFonts w:ascii="Arial" w:hAnsi="Arial"/>
          <w:sz w:val="20"/>
          <w:szCs w:val="20"/>
          <w:lang w:val="fr-FR"/>
        </w:rPr>
        <w:t xml:space="preserve"> 2025 approfondit notre dialogue avec les artistes, tant au niveau local qu’international, et pour la première fois avec le Japon, réaffirmant ainsi notre engagement à </w:t>
      </w:r>
      <w:r>
        <w:rPr>
          <w:rFonts w:ascii="Arial" w:hAnsi="Arial"/>
          <w:sz w:val="20"/>
          <w:szCs w:val="20"/>
          <w:lang w:val="fr-FR"/>
        </w:rPr>
        <w:t xml:space="preserve">nouer des ponts </w:t>
      </w:r>
      <w:r w:rsidRPr="00773120">
        <w:rPr>
          <w:rFonts w:ascii="Arial" w:hAnsi="Arial"/>
          <w:sz w:val="20"/>
          <w:szCs w:val="20"/>
          <w:lang w:val="fr-FR"/>
        </w:rPr>
        <w:t>créati</w:t>
      </w:r>
      <w:r w:rsidR="00821085">
        <w:rPr>
          <w:rFonts w:ascii="Arial" w:hAnsi="Arial"/>
          <w:sz w:val="20"/>
          <w:szCs w:val="20"/>
          <w:lang w:val="fr-FR"/>
        </w:rPr>
        <w:t>f</w:t>
      </w:r>
      <w:r w:rsidRPr="00773120">
        <w:rPr>
          <w:rFonts w:ascii="Arial" w:hAnsi="Arial"/>
          <w:sz w:val="20"/>
          <w:szCs w:val="20"/>
          <w:lang w:val="fr-FR"/>
        </w:rPr>
        <w:t>s entre les cultures. Grâce à notre collaboration avec Richard Mille</w:t>
      </w:r>
      <w:r w:rsidRPr="002C1393">
        <w:rPr>
          <w:rFonts w:ascii="Arial" w:hAnsi="Arial"/>
          <w:sz w:val="20"/>
          <w:szCs w:val="20"/>
          <w:lang w:val="fr-FR"/>
        </w:rPr>
        <w:t>,</w:t>
      </w:r>
      <w:r w:rsidR="00821085" w:rsidRPr="002C1393">
        <w:rPr>
          <w:rFonts w:ascii="Arial" w:hAnsi="Arial"/>
          <w:sz w:val="20"/>
          <w:szCs w:val="20"/>
          <w:lang w:val="fr-FR"/>
        </w:rPr>
        <w:t xml:space="preserve"> et à nos membres de jury</w:t>
      </w:r>
      <w:r w:rsidR="00821085">
        <w:rPr>
          <w:rFonts w:ascii="Arial" w:hAnsi="Arial"/>
          <w:sz w:val="20"/>
          <w:szCs w:val="20"/>
          <w:lang w:val="fr-FR"/>
        </w:rPr>
        <w:t>,</w:t>
      </w:r>
      <w:r w:rsidRPr="00773120">
        <w:rPr>
          <w:rFonts w:ascii="Arial" w:hAnsi="Arial"/>
          <w:sz w:val="20"/>
          <w:szCs w:val="20"/>
          <w:lang w:val="fr-FR"/>
        </w:rPr>
        <w:t xml:space="preserve"> nous continuons à accroître la portée et la résonance de cette plateforme au sein de la communauté artistique mondiale. »</w:t>
      </w:r>
    </w:p>
    <w:p w14:paraId="7D323287" w14:textId="23C4EEC1" w:rsidR="00C7521F" w:rsidRPr="002B0926" w:rsidRDefault="00F46C81" w:rsidP="002B0926">
      <w:pPr>
        <w:pStyle w:val="Body"/>
        <w:jc w:val="both"/>
        <w:rPr>
          <w:rFonts w:ascii="Arial" w:hAnsi="Arial"/>
          <w:sz w:val="20"/>
          <w:szCs w:val="20"/>
          <w:lang w:val="fr-FR"/>
        </w:rPr>
      </w:pPr>
      <w:r w:rsidRPr="006B029F">
        <w:rPr>
          <w:rFonts w:ascii="Arial" w:eastAsia="Arial" w:hAnsi="Arial" w:cs="Arial"/>
          <w:b/>
          <w:bCs/>
          <w:sz w:val="20"/>
          <w:szCs w:val="20"/>
          <w:lang w:val="fr-FR"/>
        </w:rPr>
        <w:lastRenderedPageBreak/>
        <w:t>Tilly</w:t>
      </w:r>
      <w:r w:rsidR="00F60452" w:rsidRPr="006B029F">
        <w:rPr>
          <w:rFonts w:ascii="Arial" w:eastAsia="Arial" w:hAnsi="Arial" w:cs="Arial"/>
          <w:b/>
          <w:bCs/>
          <w:sz w:val="20"/>
          <w:szCs w:val="20"/>
          <w:lang w:val="fr-FR"/>
        </w:rPr>
        <w:t> </w:t>
      </w:r>
      <w:r w:rsidRPr="006B029F">
        <w:rPr>
          <w:rFonts w:ascii="Arial" w:eastAsia="Arial" w:hAnsi="Arial" w:cs="Arial"/>
          <w:b/>
          <w:bCs/>
          <w:sz w:val="20"/>
          <w:szCs w:val="20"/>
          <w:lang w:val="fr-FR"/>
        </w:rPr>
        <w:t>Harrison, directrice générale de Richard</w:t>
      </w:r>
      <w:r w:rsidR="00F60452" w:rsidRPr="006B029F">
        <w:rPr>
          <w:rFonts w:ascii="Arial" w:eastAsia="Arial" w:hAnsi="Arial" w:cs="Arial"/>
          <w:b/>
          <w:bCs/>
          <w:sz w:val="20"/>
          <w:szCs w:val="20"/>
          <w:lang w:val="fr-FR"/>
        </w:rPr>
        <w:t> </w:t>
      </w:r>
      <w:r w:rsidRPr="006B029F">
        <w:rPr>
          <w:rFonts w:ascii="Arial" w:eastAsia="Arial" w:hAnsi="Arial" w:cs="Arial"/>
          <w:b/>
          <w:bCs/>
          <w:sz w:val="20"/>
          <w:szCs w:val="20"/>
          <w:lang w:val="fr-FR"/>
        </w:rPr>
        <w:t>Mille au Moyen-Orient</w:t>
      </w:r>
      <w:r w:rsidRPr="006B029F">
        <w:rPr>
          <w:rFonts w:ascii="Arial" w:eastAsia="Arial" w:hAnsi="Arial" w:cs="Arial"/>
          <w:sz w:val="20"/>
          <w:szCs w:val="20"/>
          <w:lang w:val="fr-FR"/>
        </w:rPr>
        <w:t xml:space="preserve">, a déclaré : « Les œuvres présélectionnées cette année sont non seulement visuellement saisissantes, mais aussi </w:t>
      </w:r>
      <w:r w:rsidR="004A3B05" w:rsidRPr="006B029F">
        <w:rPr>
          <w:rFonts w:ascii="Arial" w:eastAsia="Arial" w:hAnsi="Arial" w:cs="Arial"/>
          <w:sz w:val="20"/>
          <w:szCs w:val="20"/>
          <w:lang w:val="fr-FR"/>
        </w:rPr>
        <w:t xml:space="preserve">conceptuellement fortes </w:t>
      </w:r>
      <w:r w:rsidRPr="006B029F">
        <w:rPr>
          <w:rFonts w:ascii="Arial" w:eastAsia="Arial" w:hAnsi="Arial" w:cs="Arial"/>
          <w:sz w:val="20"/>
          <w:szCs w:val="20"/>
          <w:lang w:val="fr-FR"/>
        </w:rPr>
        <w:t xml:space="preserve">abordant le thème </w:t>
      </w:r>
      <w:r w:rsidR="002D4C0A" w:rsidRPr="006B029F">
        <w:rPr>
          <w:rFonts w:ascii="Arial" w:eastAsia="Arial" w:hAnsi="Arial" w:cs="Arial"/>
          <w:sz w:val="20"/>
          <w:szCs w:val="20"/>
          <w:lang w:val="fr-FR"/>
        </w:rPr>
        <w:t>« O</w:t>
      </w:r>
      <w:r w:rsidRPr="006B029F">
        <w:rPr>
          <w:rFonts w:ascii="Arial" w:eastAsia="Arial" w:hAnsi="Arial" w:cs="Arial"/>
          <w:sz w:val="20"/>
          <w:szCs w:val="20"/>
          <w:lang w:val="fr-FR"/>
        </w:rPr>
        <w:t>mbres</w:t>
      </w:r>
      <w:r w:rsidR="002D4C0A" w:rsidRPr="006B029F">
        <w:rPr>
          <w:rFonts w:ascii="Arial" w:eastAsia="Arial" w:hAnsi="Arial" w:cs="Arial"/>
          <w:sz w:val="20"/>
          <w:szCs w:val="20"/>
          <w:lang w:val="fr-FR"/>
        </w:rPr>
        <w:t> »</w:t>
      </w:r>
      <w:r w:rsidRPr="006B029F">
        <w:rPr>
          <w:rFonts w:ascii="Arial" w:eastAsia="Arial" w:hAnsi="Arial" w:cs="Arial"/>
          <w:sz w:val="20"/>
          <w:szCs w:val="20"/>
          <w:lang w:val="fr-FR"/>
        </w:rPr>
        <w:t xml:space="preserve"> tant sur le plan visuel qu’émotionnel. C</w:t>
      </w:r>
      <w:r w:rsidRPr="006B029F">
        <w:rPr>
          <w:rFonts w:ascii="Arial" w:hAnsi="Arial"/>
          <w:sz w:val="20"/>
          <w:szCs w:val="20"/>
          <w:lang w:val="fr-FR"/>
        </w:rPr>
        <w:t>’</w:t>
      </w:r>
      <w:r w:rsidRPr="006B029F">
        <w:rPr>
          <w:rFonts w:ascii="Arial" w:eastAsia="Arial" w:hAnsi="Arial" w:cs="Arial"/>
          <w:sz w:val="20"/>
          <w:szCs w:val="20"/>
          <w:lang w:val="fr-FR"/>
        </w:rPr>
        <w:t>est ce niveau d</w:t>
      </w:r>
      <w:r w:rsidRPr="006B029F">
        <w:rPr>
          <w:rFonts w:ascii="Arial" w:hAnsi="Arial"/>
          <w:sz w:val="20"/>
          <w:szCs w:val="20"/>
          <w:lang w:val="fr-FR"/>
        </w:rPr>
        <w:t>’</w:t>
      </w:r>
      <w:r w:rsidRPr="006B029F">
        <w:rPr>
          <w:rFonts w:ascii="Arial" w:eastAsia="Arial" w:hAnsi="Arial" w:cs="Arial"/>
          <w:sz w:val="20"/>
          <w:szCs w:val="20"/>
          <w:lang w:val="fr-FR"/>
        </w:rPr>
        <w:t>ambition qui fait du Richard Mille Art Priz</w:t>
      </w:r>
      <w:r w:rsidR="004A3B05" w:rsidRPr="006B029F">
        <w:rPr>
          <w:rFonts w:ascii="Arial" w:eastAsia="Arial" w:hAnsi="Arial" w:cs="Arial"/>
          <w:sz w:val="20"/>
          <w:szCs w:val="20"/>
          <w:lang w:val="fr-FR"/>
        </w:rPr>
        <w:t>e</w:t>
      </w:r>
      <w:r w:rsidRPr="006B029F">
        <w:rPr>
          <w:rFonts w:ascii="Arial" w:eastAsia="Arial" w:hAnsi="Arial" w:cs="Arial"/>
          <w:sz w:val="20"/>
          <w:szCs w:val="20"/>
          <w:lang w:val="fr-FR"/>
        </w:rPr>
        <w:t xml:space="preserve"> </w:t>
      </w:r>
      <w:r w:rsidR="006769A7" w:rsidRPr="006B029F">
        <w:rPr>
          <w:rFonts w:ascii="Arial" w:eastAsia="Arial" w:hAnsi="Arial" w:cs="Arial"/>
          <w:sz w:val="20"/>
          <w:szCs w:val="20"/>
          <w:lang w:val="fr-FR"/>
        </w:rPr>
        <w:t xml:space="preserve">un </w:t>
      </w:r>
      <w:r w:rsidR="002D4C0A" w:rsidRPr="006B029F">
        <w:rPr>
          <w:rFonts w:ascii="Arial" w:eastAsia="Arial" w:hAnsi="Arial" w:cs="Arial"/>
          <w:sz w:val="20"/>
          <w:szCs w:val="20"/>
          <w:lang w:val="fr-FR"/>
        </w:rPr>
        <w:t>événement majeur</w:t>
      </w:r>
      <w:r w:rsidR="006769A7" w:rsidRPr="006B029F">
        <w:rPr>
          <w:rFonts w:ascii="Arial" w:eastAsia="Arial" w:hAnsi="Arial" w:cs="Arial"/>
          <w:sz w:val="20"/>
          <w:szCs w:val="20"/>
          <w:lang w:val="fr-FR"/>
        </w:rPr>
        <w:t xml:space="preserve"> de</w:t>
      </w:r>
      <w:r w:rsidRPr="006B029F">
        <w:rPr>
          <w:rFonts w:ascii="Arial" w:eastAsia="Arial" w:hAnsi="Arial" w:cs="Arial"/>
          <w:sz w:val="20"/>
          <w:szCs w:val="20"/>
          <w:lang w:val="fr-FR"/>
        </w:rPr>
        <w:t xml:space="preserve"> l</w:t>
      </w:r>
      <w:r w:rsidRPr="006B029F">
        <w:rPr>
          <w:rFonts w:ascii="Arial" w:hAnsi="Arial"/>
          <w:sz w:val="20"/>
          <w:szCs w:val="20"/>
          <w:lang w:val="fr-FR"/>
        </w:rPr>
        <w:t>’</w:t>
      </w:r>
      <w:r w:rsidRPr="006B029F">
        <w:rPr>
          <w:rFonts w:ascii="Arial" w:eastAsia="Arial" w:hAnsi="Arial" w:cs="Arial"/>
          <w:sz w:val="20"/>
          <w:szCs w:val="20"/>
          <w:lang w:val="fr-FR"/>
        </w:rPr>
        <w:t>art contemporain dans la région. »</w:t>
      </w:r>
      <w:r w:rsidR="004A3B05" w:rsidRPr="006B029F">
        <w:rPr>
          <w:rFonts w:ascii="Arial" w:eastAsia="Arial" w:hAnsi="Arial" w:cs="Arial"/>
          <w:sz w:val="20"/>
          <w:szCs w:val="20"/>
          <w:lang w:val="fr-FR"/>
        </w:rPr>
        <w:t xml:space="preserve"> </w:t>
      </w:r>
      <w:r w:rsidR="00773120" w:rsidRPr="006B029F">
        <w:rPr>
          <w:rFonts w:ascii="Arial" w:hAnsi="Arial"/>
          <w:i/>
          <w:iCs/>
          <w:sz w:val="20"/>
          <w:szCs w:val="20"/>
          <w:lang w:val="fr-FR"/>
        </w:rPr>
        <w:t xml:space="preserve">Art Here </w:t>
      </w:r>
      <w:r w:rsidR="00773120" w:rsidRPr="006B029F">
        <w:rPr>
          <w:rFonts w:ascii="Arial" w:hAnsi="Arial"/>
          <w:sz w:val="20"/>
          <w:szCs w:val="20"/>
          <w:lang w:val="fr-FR"/>
        </w:rPr>
        <w:t>2025 reflète un dialogue curatori</w:t>
      </w:r>
      <w:r w:rsidR="005D6F69" w:rsidRPr="006B029F">
        <w:rPr>
          <w:rFonts w:ascii="Arial" w:hAnsi="Arial"/>
          <w:sz w:val="20"/>
          <w:szCs w:val="20"/>
          <w:lang w:val="fr-FR"/>
        </w:rPr>
        <w:t>a</w:t>
      </w:r>
      <w:r w:rsidR="00773120" w:rsidRPr="006B029F">
        <w:rPr>
          <w:rFonts w:ascii="Arial" w:hAnsi="Arial"/>
          <w:sz w:val="20"/>
          <w:szCs w:val="20"/>
          <w:lang w:val="fr-FR"/>
        </w:rPr>
        <w:t>l en plein essor qui s’étend du Golfe au Japon, ainsi qu’à l’ensemble de la région. À travers les œuvres présentées par les artistes présélectionnés, l’exposition repousse les frontières de la collaboration régionale et de l’expression artistique, en invitant à de nouvelles interprétations de l’ombre, de l’espace et des résonances culturelles au sein du récit universel du Louvre Abu Dhabi.</w:t>
      </w:r>
    </w:p>
    <w:p w14:paraId="1286A3A2" w14:textId="6E134BE6" w:rsidR="00773120" w:rsidRDefault="003E2948" w:rsidP="00773120">
      <w:pPr>
        <w:pStyle w:val="Body"/>
        <w:jc w:val="both"/>
        <w:rPr>
          <w:rFonts w:ascii="Arial" w:hAnsi="Arial"/>
          <w:sz w:val="20"/>
          <w:szCs w:val="20"/>
          <w:lang w:val="fr-FR"/>
        </w:rPr>
      </w:pPr>
      <w:r w:rsidRPr="003E2948">
        <w:rPr>
          <w:rFonts w:ascii="Arial" w:hAnsi="Arial"/>
          <w:b/>
          <w:bCs/>
          <w:sz w:val="20"/>
          <w:szCs w:val="20"/>
          <w:lang w:val="fr-FR"/>
        </w:rPr>
        <w:t xml:space="preserve">Dr. Guilhem André, directeur </w:t>
      </w:r>
      <w:r w:rsidR="005D6F69">
        <w:rPr>
          <w:rFonts w:ascii="Arial" w:hAnsi="Arial"/>
          <w:b/>
          <w:bCs/>
          <w:sz w:val="20"/>
          <w:szCs w:val="20"/>
          <w:lang w:val="fr-FR"/>
        </w:rPr>
        <w:t>d</w:t>
      </w:r>
      <w:r w:rsidRPr="003E2948">
        <w:rPr>
          <w:rFonts w:ascii="Arial" w:hAnsi="Arial"/>
          <w:b/>
          <w:bCs/>
          <w:sz w:val="20"/>
          <w:szCs w:val="20"/>
          <w:lang w:val="fr-FR"/>
        </w:rPr>
        <w:t>e la gestion scientifique, de la conservation et des collections du Louvre Abu Dhabi</w:t>
      </w:r>
      <w:r w:rsidRPr="005C1425">
        <w:rPr>
          <w:rFonts w:ascii="Lad" w:eastAsia="Lad" w:hAnsi="Lad" w:cs="Lad"/>
          <w:lang w:val="fr-FR"/>
        </w:rPr>
        <w:t xml:space="preserve"> </w:t>
      </w:r>
      <w:r w:rsidR="00773120">
        <w:rPr>
          <w:rFonts w:ascii="Arial" w:hAnsi="Arial"/>
          <w:sz w:val="20"/>
          <w:szCs w:val="20"/>
          <w:lang w:val="fr-FR"/>
        </w:rPr>
        <w:t xml:space="preserve">a déclaré : </w:t>
      </w:r>
      <w:r w:rsidR="00773120" w:rsidRPr="00773120">
        <w:rPr>
          <w:rFonts w:ascii="Arial" w:hAnsi="Arial"/>
          <w:sz w:val="20"/>
          <w:szCs w:val="20"/>
          <w:lang w:val="fr-FR"/>
        </w:rPr>
        <w:t xml:space="preserve">« Au fil de ses cinq éditions, </w:t>
      </w:r>
      <w:r w:rsidR="00814B9E">
        <w:rPr>
          <w:rFonts w:ascii="Arial" w:hAnsi="Arial"/>
          <w:sz w:val="20"/>
          <w:szCs w:val="20"/>
          <w:lang w:val="fr-FR"/>
        </w:rPr>
        <w:t>l’exposition d’</w:t>
      </w:r>
      <w:r w:rsidR="00773120" w:rsidRPr="00773120">
        <w:rPr>
          <w:rFonts w:ascii="Arial" w:hAnsi="Arial"/>
          <w:i/>
          <w:iCs/>
          <w:sz w:val="20"/>
          <w:szCs w:val="20"/>
          <w:lang w:val="fr-FR"/>
        </w:rPr>
        <w:t>Art Here</w:t>
      </w:r>
      <w:r w:rsidR="00773120" w:rsidRPr="00773120">
        <w:rPr>
          <w:rFonts w:ascii="Arial" w:hAnsi="Arial"/>
          <w:sz w:val="20"/>
          <w:szCs w:val="20"/>
          <w:lang w:val="fr-FR"/>
        </w:rPr>
        <w:t xml:space="preserve"> est devenu</w:t>
      </w:r>
      <w:r w:rsidR="00814B9E">
        <w:rPr>
          <w:rFonts w:ascii="Arial" w:hAnsi="Arial"/>
          <w:sz w:val="20"/>
          <w:szCs w:val="20"/>
          <w:lang w:val="fr-FR"/>
        </w:rPr>
        <w:t>e</w:t>
      </w:r>
      <w:r w:rsidR="00773120" w:rsidRPr="00773120">
        <w:rPr>
          <w:rFonts w:ascii="Arial" w:hAnsi="Arial"/>
          <w:sz w:val="20"/>
          <w:szCs w:val="20"/>
          <w:lang w:val="fr-FR"/>
        </w:rPr>
        <w:t xml:space="preserve"> une plateforme de premier plan qui valorise la diversité et fait émerger de nouvelles voix artistiques, réaffirmant ainsi le rôle du Louvre Abu Dhabi comme un pôle de créativité à la fois régionale et internationale. L’exposition de cette année présente des œuvres d’une profondeur et d’une finesse remarquables qui, ensemble, reflètent toute la vitalité de l’art contemporain </w:t>
      </w:r>
      <w:r w:rsidR="002B0926">
        <w:rPr>
          <w:rFonts w:ascii="Arial" w:hAnsi="Arial"/>
          <w:sz w:val="20"/>
          <w:szCs w:val="20"/>
          <w:lang w:val="fr-FR"/>
        </w:rPr>
        <w:t>d’</w:t>
      </w:r>
      <w:r w:rsidR="00773120" w:rsidRPr="00773120">
        <w:rPr>
          <w:rFonts w:ascii="Arial" w:hAnsi="Arial"/>
          <w:sz w:val="20"/>
          <w:szCs w:val="20"/>
          <w:lang w:val="fr-FR"/>
        </w:rPr>
        <w:t xml:space="preserve">aujourd’hui. </w:t>
      </w:r>
      <w:r w:rsidR="00773120" w:rsidRPr="00773120">
        <w:rPr>
          <w:rFonts w:ascii="Arial" w:hAnsi="Arial"/>
          <w:i/>
          <w:iCs/>
          <w:sz w:val="20"/>
          <w:szCs w:val="20"/>
          <w:lang w:val="fr-FR"/>
        </w:rPr>
        <w:t>Art Here 2025</w:t>
      </w:r>
      <w:r w:rsidR="00773120" w:rsidRPr="00773120">
        <w:rPr>
          <w:rFonts w:ascii="Arial" w:hAnsi="Arial"/>
          <w:sz w:val="20"/>
          <w:szCs w:val="20"/>
          <w:lang w:val="fr-FR"/>
        </w:rPr>
        <w:t xml:space="preserve"> met en lumière des connexions intéressantes entre la région et des concepts venus du monde entier, renforçant le dialogue interculturel et élargissant le champ de l’engagement artistique. »</w:t>
      </w:r>
    </w:p>
    <w:p w14:paraId="046EECA8" w14:textId="77777777" w:rsidR="00773120" w:rsidRDefault="00773120" w:rsidP="00773120">
      <w:pPr>
        <w:pStyle w:val="Body"/>
        <w:jc w:val="both"/>
        <w:rPr>
          <w:rFonts w:ascii="Arial" w:hAnsi="Arial"/>
          <w:sz w:val="20"/>
          <w:szCs w:val="20"/>
          <w:lang w:val="fr-FR"/>
        </w:rPr>
      </w:pPr>
    </w:p>
    <w:p w14:paraId="7D323289" w14:textId="618932DE" w:rsidR="00C7521F" w:rsidRPr="003E2948" w:rsidRDefault="007C12C2" w:rsidP="00773120">
      <w:pPr>
        <w:pStyle w:val="Body"/>
        <w:jc w:val="both"/>
        <w:rPr>
          <w:rFonts w:ascii="Arial" w:eastAsia="Arial" w:hAnsi="Arial" w:cs="Arial"/>
          <w:b/>
          <w:bCs/>
          <w:sz w:val="20"/>
          <w:szCs w:val="20"/>
          <w:lang w:val="fr-FR"/>
        </w:rPr>
      </w:pPr>
      <w:r w:rsidRPr="003E2948">
        <w:rPr>
          <w:rFonts w:ascii="Arial" w:hAnsi="Arial"/>
          <w:b/>
          <w:bCs/>
          <w:i/>
          <w:iCs/>
          <w:sz w:val="20"/>
          <w:szCs w:val="20"/>
          <w:lang w:val="fr-FR"/>
        </w:rPr>
        <w:t>Art Here 2025</w:t>
      </w:r>
      <w:r w:rsidRPr="003E2948">
        <w:rPr>
          <w:rFonts w:ascii="Arial" w:hAnsi="Arial"/>
          <w:b/>
          <w:bCs/>
          <w:sz w:val="20"/>
          <w:szCs w:val="20"/>
          <w:lang w:val="fr-FR"/>
        </w:rPr>
        <w:t xml:space="preserve"> </w:t>
      </w:r>
      <w:r w:rsidR="003E2948" w:rsidRPr="003E2948">
        <w:rPr>
          <w:rFonts w:ascii="Arial" w:hAnsi="Arial"/>
          <w:b/>
          <w:bCs/>
          <w:sz w:val="20"/>
          <w:szCs w:val="20"/>
          <w:lang w:val="fr-FR"/>
        </w:rPr>
        <w:t xml:space="preserve">présente les </w:t>
      </w:r>
      <w:r w:rsidR="003E2948">
        <w:rPr>
          <w:rFonts w:ascii="Arial" w:hAnsi="Arial"/>
          <w:b/>
          <w:bCs/>
          <w:sz w:val="20"/>
          <w:szCs w:val="20"/>
          <w:lang w:val="fr-FR"/>
        </w:rPr>
        <w:t>œuvres de sept artistes :</w:t>
      </w:r>
    </w:p>
    <w:p w14:paraId="50F277FF" w14:textId="2FF585D8" w:rsidR="003E2948" w:rsidRPr="003E2948" w:rsidRDefault="003E2948" w:rsidP="003E2948">
      <w:pPr>
        <w:pStyle w:val="Body"/>
        <w:jc w:val="both"/>
        <w:rPr>
          <w:rFonts w:ascii="Arial" w:hAnsi="Arial"/>
          <w:sz w:val="20"/>
          <w:szCs w:val="20"/>
          <w:lang w:val="fr-FR"/>
        </w:rPr>
      </w:pPr>
      <w:r w:rsidRPr="003E2948">
        <w:rPr>
          <w:rFonts w:ascii="Arial" w:hAnsi="Arial"/>
          <w:sz w:val="20"/>
          <w:szCs w:val="20"/>
          <w:lang w:val="fr-FR"/>
        </w:rPr>
        <w:t xml:space="preserve">L’architecte, artiste et chercheur palestinien </w:t>
      </w:r>
      <w:r w:rsidRPr="003E2948">
        <w:rPr>
          <w:rFonts w:ascii="Arial" w:hAnsi="Arial"/>
          <w:b/>
          <w:bCs/>
          <w:sz w:val="20"/>
          <w:szCs w:val="20"/>
          <w:lang w:val="fr-FR"/>
        </w:rPr>
        <w:t>Ahmed Alaqra</w:t>
      </w:r>
      <w:r w:rsidRPr="003E2948">
        <w:rPr>
          <w:rFonts w:ascii="Arial" w:hAnsi="Arial"/>
          <w:sz w:val="20"/>
          <w:szCs w:val="20"/>
          <w:lang w:val="fr-FR"/>
        </w:rPr>
        <w:t xml:space="preserve">, avec son œuvre </w:t>
      </w:r>
      <w:r w:rsidRPr="003E2948">
        <w:rPr>
          <w:rFonts w:ascii="Arial" w:hAnsi="Arial"/>
          <w:i/>
          <w:iCs/>
          <w:sz w:val="20"/>
          <w:szCs w:val="20"/>
          <w:lang w:val="fr-FR"/>
        </w:rPr>
        <w:t>I remember. a light</w:t>
      </w:r>
      <w:r>
        <w:rPr>
          <w:rFonts w:ascii="Arial" w:hAnsi="Arial"/>
          <w:sz w:val="20"/>
          <w:szCs w:val="20"/>
          <w:lang w:val="fr-FR"/>
        </w:rPr>
        <w:t xml:space="preserve"> - Je me souviens. D’une lumière</w:t>
      </w:r>
      <w:r w:rsidR="006A2AC0">
        <w:rPr>
          <w:rFonts w:ascii="Arial" w:hAnsi="Arial"/>
          <w:sz w:val="20"/>
          <w:szCs w:val="20"/>
          <w:lang w:val="fr-FR"/>
        </w:rPr>
        <w:t xml:space="preserve"> -</w:t>
      </w:r>
      <w:r>
        <w:rPr>
          <w:rFonts w:ascii="Arial" w:hAnsi="Arial"/>
          <w:sz w:val="20"/>
          <w:szCs w:val="20"/>
          <w:lang w:val="fr-FR"/>
        </w:rPr>
        <w:t xml:space="preserve"> </w:t>
      </w:r>
      <w:r w:rsidRPr="003E2948">
        <w:rPr>
          <w:rFonts w:ascii="Arial" w:hAnsi="Arial"/>
          <w:sz w:val="20"/>
          <w:szCs w:val="20"/>
          <w:lang w:val="fr-FR"/>
        </w:rPr>
        <w:t xml:space="preserve">réinvente les ombres en tant que traces urbaines, en faisant référence </w:t>
      </w:r>
      <w:r>
        <w:rPr>
          <w:rFonts w:ascii="Arial" w:hAnsi="Arial"/>
          <w:sz w:val="20"/>
          <w:szCs w:val="20"/>
          <w:lang w:val="fr-FR"/>
        </w:rPr>
        <w:t xml:space="preserve">au </w:t>
      </w:r>
      <w:r w:rsidRPr="003E2948">
        <w:rPr>
          <w:rFonts w:ascii="Arial" w:hAnsi="Arial"/>
          <w:sz w:val="20"/>
          <w:szCs w:val="20"/>
          <w:lang w:val="fr-FR"/>
        </w:rPr>
        <w:t xml:space="preserve">moucharabieh, ce treillage en bois traditionnel utilisé dans l’architecture du Moyen-Orient et de l’Afrique du Nord. Composée de cubes en acrylique empilés contenant des formes imprimées en 3D à partir de photographies d’ombres de Sharjah, </w:t>
      </w:r>
      <w:r w:rsidR="002B0926">
        <w:rPr>
          <w:rFonts w:ascii="Arial" w:hAnsi="Arial"/>
          <w:sz w:val="20"/>
          <w:szCs w:val="20"/>
          <w:lang w:val="fr-FR"/>
        </w:rPr>
        <w:t>cette</w:t>
      </w:r>
      <w:r w:rsidRPr="003E2948">
        <w:rPr>
          <w:rFonts w:ascii="Arial" w:hAnsi="Arial"/>
          <w:sz w:val="20"/>
          <w:szCs w:val="20"/>
          <w:lang w:val="fr-FR"/>
        </w:rPr>
        <w:t xml:space="preserve"> sculpture transforme les rencontres éphémères entre lumière et architecture en artefacts sculpturaux durables.</w:t>
      </w:r>
    </w:p>
    <w:p w14:paraId="7C4F5AD8" w14:textId="33C22090" w:rsidR="003E2948" w:rsidRPr="003E2948" w:rsidRDefault="003E2948" w:rsidP="003E2948">
      <w:pPr>
        <w:pStyle w:val="Body"/>
        <w:jc w:val="both"/>
        <w:rPr>
          <w:rFonts w:ascii="Arial" w:hAnsi="Arial"/>
          <w:sz w:val="20"/>
          <w:szCs w:val="20"/>
          <w:lang w:val="fr-FR"/>
        </w:rPr>
      </w:pPr>
      <w:r w:rsidRPr="003E2948">
        <w:rPr>
          <w:rFonts w:ascii="Arial" w:hAnsi="Arial"/>
          <w:sz w:val="20"/>
          <w:szCs w:val="20"/>
          <w:lang w:val="fr-FR"/>
        </w:rPr>
        <w:t xml:space="preserve">L’artiste et musicien émirati </w:t>
      </w:r>
      <w:r w:rsidRPr="003E2948">
        <w:rPr>
          <w:rFonts w:ascii="Arial" w:hAnsi="Arial"/>
          <w:b/>
          <w:bCs/>
          <w:sz w:val="20"/>
          <w:szCs w:val="20"/>
          <w:lang w:val="fr-FR"/>
        </w:rPr>
        <w:t>Jumairy</w:t>
      </w:r>
      <w:r w:rsidRPr="003E2948">
        <w:rPr>
          <w:rFonts w:ascii="Arial" w:hAnsi="Arial"/>
          <w:sz w:val="20"/>
          <w:szCs w:val="20"/>
          <w:lang w:val="fr-FR"/>
        </w:rPr>
        <w:t xml:space="preserve"> présente </w:t>
      </w:r>
      <w:r w:rsidRPr="003E2948">
        <w:rPr>
          <w:rFonts w:ascii="Arial" w:hAnsi="Arial"/>
          <w:i/>
          <w:iCs/>
          <w:sz w:val="20"/>
          <w:szCs w:val="20"/>
          <w:lang w:val="fr-FR"/>
        </w:rPr>
        <w:t>Echo</w:t>
      </w:r>
      <w:r w:rsidRPr="003E2948">
        <w:rPr>
          <w:rFonts w:ascii="Arial" w:hAnsi="Arial"/>
          <w:sz w:val="20"/>
          <w:szCs w:val="20"/>
          <w:lang w:val="fr-FR"/>
        </w:rPr>
        <w:t xml:space="preserve"> </w:t>
      </w:r>
      <w:r w:rsidR="00D63DA8">
        <w:rPr>
          <w:rFonts w:ascii="Arial" w:hAnsi="Arial"/>
          <w:sz w:val="20"/>
          <w:szCs w:val="20"/>
          <w:lang w:val="fr-FR"/>
        </w:rPr>
        <w:t xml:space="preserve">- </w:t>
      </w:r>
      <w:r w:rsidRPr="003E2948">
        <w:rPr>
          <w:rFonts w:ascii="Arial" w:hAnsi="Arial"/>
          <w:sz w:val="20"/>
          <w:szCs w:val="20"/>
          <w:lang w:val="fr-FR"/>
        </w:rPr>
        <w:t>Écho</w:t>
      </w:r>
      <w:r>
        <w:rPr>
          <w:i/>
          <w:iCs/>
          <w:lang w:val="fr-FR"/>
        </w:rPr>
        <w:t xml:space="preserve"> </w:t>
      </w:r>
      <w:r w:rsidR="006A2AC0">
        <w:rPr>
          <w:rFonts w:ascii="Arial" w:hAnsi="Arial"/>
          <w:sz w:val="20"/>
          <w:szCs w:val="20"/>
          <w:lang w:val="fr-FR"/>
        </w:rPr>
        <w:t>-</w:t>
      </w:r>
      <w:r w:rsidRPr="003E2948">
        <w:rPr>
          <w:rFonts w:ascii="Arial" w:hAnsi="Arial"/>
          <w:sz w:val="20"/>
          <w:szCs w:val="20"/>
          <w:lang w:val="fr-FR"/>
        </w:rPr>
        <w:t xml:space="preserve"> une installation lumineuse interactive où les visiteurs découvrent un bassin d’eau immobile, une seule fleur et une ambiance sonore. Réinterprétant le mythe d’Écho et Narcisse, l’œuvre déplace l’attention de la simple réflexion vers la présence, utilisant la lumière et l’ombre pour transformer l’absence en intimité et inviter à une rencontre plus profonde avec la mémoire et l’inconscient.</w:t>
      </w:r>
    </w:p>
    <w:p w14:paraId="4D70E552" w14:textId="45E006D8" w:rsidR="006A2AC0" w:rsidRPr="006A2AC0" w:rsidRDefault="006A2AC0" w:rsidP="006A2AC0">
      <w:pPr>
        <w:pStyle w:val="Body"/>
        <w:jc w:val="both"/>
        <w:rPr>
          <w:rFonts w:ascii="Arial" w:hAnsi="Arial"/>
          <w:sz w:val="20"/>
          <w:szCs w:val="20"/>
          <w:lang w:val="fr-FR"/>
        </w:rPr>
      </w:pPr>
      <w:r w:rsidRPr="006A2AC0">
        <w:rPr>
          <w:rFonts w:ascii="Arial" w:hAnsi="Arial"/>
          <w:sz w:val="20"/>
          <w:szCs w:val="20"/>
          <w:lang w:val="fr-FR"/>
        </w:rPr>
        <w:t xml:space="preserve">L’artiste japonais </w:t>
      </w:r>
      <w:r w:rsidRPr="006A2AC0">
        <w:rPr>
          <w:rFonts w:ascii="Arial" w:hAnsi="Arial"/>
          <w:b/>
          <w:bCs/>
          <w:sz w:val="20"/>
          <w:szCs w:val="20"/>
          <w:lang w:val="fr-FR"/>
        </w:rPr>
        <w:t>Ryoichi Kurokawa</w:t>
      </w:r>
      <w:r w:rsidRPr="006A2AC0">
        <w:rPr>
          <w:rFonts w:ascii="Arial" w:hAnsi="Arial"/>
          <w:sz w:val="20"/>
          <w:szCs w:val="20"/>
          <w:lang w:val="fr-FR"/>
        </w:rPr>
        <w:t xml:space="preserve"> présente </w:t>
      </w:r>
      <w:r w:rsidRPr="006A2AC0">
        <w:rPr>
          <w:rFonts w:ascii="Arial" w:hAnsi="Arial"/>
          <w:i/>
          <w:iCs/>
          <w:sz w:val="20"/>
          <w:szCs w:val="20"/>
          <w:lang w:val="fr-FR"/>
        </w:rPr>
        <w:t>skadw-</w:t>
      </w:r>
      <w:r w:rsidRPr="006A2AC0">
        <w:rPr>
          <w:rFonts w:ascii="Arial" w:hAnsi="Arial"/>
          <w:sz w:val="20"/>
          <w:szCs w:val="20"/>
          <w:lang w:val="fr-FR"/>
        </w:rPr>
        <w:t xml:space="preserve">, une installation audiovisuelle immersive mêlant lumière, brouillard et son, </w:t>
      </w:r>
      <w:r w:rsidR="0090069A">
        <w:rPr>
          <w:rFonts w:ascii="Arial" w:hAnsi="Arial"/>
          <w:sz w:val="20"/>
          <w:szCs w:val="20"/>
          <w:lang w:val="fr-FR"/>
        </w:rPr>
        <w:t>et</w:t>
      </w:r>
      <w:r w:rsidRPr="006A2AC0">
        <w:rPr>
          <w:rFonts w:ascii="Arial" w:hAnsi="Arial"/>
          <w:sz w:val="20"/>
          <w:szCs w:val="20"/>
          <w:lang w:val="fr-FR"/>
        </w:rPr>
        <w:t xml:space="preserve"> transform</w:t>
      </w:r>
      <w:r w:rsidR="0090069A">
        <w:rPr>
          <w:rFonts w:ascii="Arial" w:hAnsi="Arial"/>
          <w:sz w:val="20"/>
          <w:szCs w:val="20"/>
          <w:lang w:val="fr-FR"/>
        </w:rPr>
        <w:t>ant</w:t>
      </w:r>
      <w:r w:rsidRPr="006A2AC0">
        <w:rPr>
          <w:rFonts w:ascii="Arial" w:hAnsi="Arial"/>
          <w:sz w:val="20"/>
          <w:szCs w:val="20"/>
          <w:lang w:val="fr-FR"/>
        </w:rPr>
        <w:t xml:space="preserve"> les ombres en formes sculpturales. Un unique faisceau traverse la brume mouvante, créant des motifs de lumière et d’ombre en perpétuelle transformation. Inspirée par le concept japonais de </w:t>
      </w:r>
      <w:r w:rsidRPr="006A2AC0">
        <w:rPr>
          <w:rFonts w:ascii="Arial" w:hAnsi="Arial"/>
          <w:i/>
          <w:iCs/>
          <w:sz w:val="20"/>
          <w:szCs w:val="20"/>
          <w:lang w:val="fr-FR"/>
        </w:rPr>
        <w:t>Ma</w:t>
      </w:r>
      <w:r w:rsidR="002B0926">
        <w:rPr>
          <w:rFonts w:ascii="Arial" w:hAnsi="Arial"/>
          <w:sz w:val="20"/>
          <w:szCs w:val="20"/>
          <w:lang w:val="fr-FR"/>
        </w:rPr>
        <w:t xml:space="preserve"> - signifiant </w:t>
      </w:r>
      <w:r w:rsidRPr="006A2AC0">
        <w:rPr>
          <w:rFonts w:ascii="Arial" w:hAnsi="Arial"/>
          <w:sz w:val="20"/>
          <w:szCs w:val="20"/>
          <w:lang w:val="fr-FR"/>
        </w:rPr>
        <w:t xml:space="preserve">la beauté de l’espace négatif, </w:t>
      </w:r>
      <w:r w:rsidR="002B0926">
        <w:rPr>
          <w:rFonts w:ascii="Arial" w:hAnsi="Arial"/>
          <w:sz w:val="20"/>
          <w:szCs w:val="20"/>
          <w:lang w:val="fr-FR"/>
        </w:rPr>
        <w:t xml:space="preserve">et les </w:t>
      </w:r>
      <w:r w:rsidRPr="006A2AC0">
        <w:rPr>
          <w:rFonts w:ascii="Arial" w:hAnsi="Arial"/>
          <w:sz w:val="20"/>
          <w:szCs w:val="20"/>
          <w:lang w:val="fr-FR"/>
        </w:rPr>
        <w:t>intervalles du vide</w:t>
      </w:r>
      <w:r w:rsidR="00D63DA8">
        <w:rPr>
          <w:rFonts w:ascii="Arial" w:hAnsi="Arial"/>
          <w:sz w:val="20"/>
          <w:szCs w:val="20"/>
          <w:lang w:val="fr-FR"/>
        </w:rPr>
        <w:t xml:space="preserve"> -</w:t>
      </w:r>
      <w:r w:rsidRPr="006A2AC0">
        <w:rPr>
          <w:rFonts w:ascii="Arial" w:hAnsi="Arial"/>
          <w:sz w:val="20"/>
          <w:szCs w:val="20"/>
          <w:lang w:val="fr-FR"/>
        </w:rPr>
        <w:t xml:space="preserve"> </w:t>
      </w:r>
      <w:r w:rsidR="002B0926">
        <w:rPr>
          <w:rFonts w:ascii="Arial" w:hAnsi="Arial"/>
          <w:sz w:val="20"/>
          <w:szCs w:val="20"/>
          <w:lang w:val="fr-FR"/>
        </w:rPr>
        <w:t xml:space="preserve">cette </w:t>
      </w:r>
      <w:r w:rsidRPr="006A2AC0">
        <w:rPr>
          <w:rFonts w:ascii="Arial" w:hAnsi="Arial"/>
          <w:sz w:val="20"/>
          <w:szCs w:val="20"/>
          <w:lang w:val="fr-FR"/>
        </w:rPr>
        <w:t>œuvre invite les spectateurs à pénétrer dans un environnement méditatif où l’absence devient présence.</w:t>
      </w:r>
    </w:p>
    <w:p w14:paraId="44EEE287" w14:textId="2B55222A" w:rsidR="006A2AC0" w:rsidRDefault="006A2AC0" w:rsidP="006E39A5">
      <w:pPr>
        <w:pStyle w:val="Body"/>
        <w:jc w:val="both"/>
        <w:rPr>
          <w:rFonts w:ascii="Arial" w:hAnsi="Arial"/>
          <w:sz w:val="20"/>
          <w:szCs w:val="20"/>
          <w:lang w:val="fr-FR"/>
        </w:rPr>
      </w:pPr>
      <w:r w:rsidRPr="006E39A5">
        <w:rPr>
          <w:rFonts w:ascii="Arial" w:hAnsi="Arial"/>
          <w:sz w:val="20"/>
          <w:szCs w:val="20"/>
          <w:lang w:val="fr-FR"/>
        </w:rPr>
        <w:t xml:space="preserve">Tree Studies - </w:t>
      </w:r>
      <w:r w:rsidRPr="006A2AC0">
        <w:rPr>
          <w:rFonts w:ascii="Arial" w:hAnsi="Arial"/>
          <w:sz w:val="20"/>
          <w:szCs w:val="20"/>
          <w:lang w:val="fr-FR"/>
        </w:rPr>
        <w:t>Études d’arbres</w:t>
      </w:r>
      <w:r w:rsidRPr="006E39A5">
        <w:rPr>
          <w:rFonts w:ascii="Arial" w:hAnsi="Arial"/>
          <w:sz w:val="20"/>
          <w:szCs w:val="20"/>
          <w:lang w:val="fr-FR"/>
        </w:rPr>
        <w:t xml:space="preserve"> -</w:t>
      </w:r>
      <w:r w:rsidRPr="006A2AC0">
        <w:rPr>
          <w:rFonts w:ascii="Arial" w:hAnsi="Arial"/>
          <w:sz w:val="20"/>
          <w:szCs w:val="20"/>
          <w:lang w:val="fr-FR"/>
        </w:rPr>
        <w:t xml:space="preserve"> de </w:t>
      </w:r>
      <w:r w:rsidRPr="006E39A5">
        <w:rPr>
          <w:rFonts w:ascii="Arial" w:hAnsi="Arial"/>
          <w:b/>
          <w:bCs/>
          <w:sz w:val="20"/>
          <w:szCs w:val="20"/>
          <w:lang w:val="fr-FR"/>
        </w:rPr>
        <w:t>Hamra Abbas</w:t>
      </w:r>
      <w:r w:rsidRPr="006A2AC0">
        <w:rPr>
          <w:rFonts w:ascii="Arial" w:hAnsi="Arial"/>
          <w:sz w:val="20"/>
          <w:szCs w:val="20"/>
          <w:lang w:val="fr-FR"/>
        </w:rPr>
        <w:t xml:space="preserve"> est une installation composée de 31 sculptures en incrustation de pierre, inspirées des arbres du Pakistan et des Émirats arabes unis, tels que l’olivier, le grenadier et le cerisier. Utilisant sa technique distinctive de lapis-lapis pour créer un feuillage semblable à des ombres, les œuvres trouvent un équilibre entre réalisme et abstraction. L’installation en grille sous le dôme évoquera les ombres superposées des palmiers de l’oasis d’Al Ain.</w:t>
      </w:r>
    </w:p>
    <w:p w14:paraId="7766BEDC" w14:textId="77777777" w:rsidR="006A2AC0" w:rsidRDefault="006A2AC0" w:rsidP="006A2AC0">
      <w:pPr>
        <w:rPr>
          <w:rFonts w:ascii="Arial" w:hAnsi="Arial"/>
          <w:sz w:val="20"/>
          <w:szCs w:val="20"/>
          <w:lang w:val="fr-FR"/>
        </w:rPr>
      </w:pPr>
    </w:p>
    <w:p w14:paraId="27AA0A46" w14:textId="3820C2A1" w:rsidR="006A2AC0" w:rsidRPr="006A2AC0" w:rsidRDefault="006A2AC0" w:rsidP="006E39A5">
      <w:pPr>
        <w:pStyle w:val="Body"/>
        <w:jc w:val="both"/>
        <w:rPr>
          <w:rFonts w:ascii="Arial" w:hAnsi="Arial"/>
          <w:sz w:val="20"/>
          <w:szCs w:val="20"/>
          <w:lang w:val="fr-FR"/>
        </w:rPr>
      </w:pPr>
      <w:r w:rsidRPr="006A2AC0">
        <w:rPr>
          <w:rFonts w:ascii="Arial" w:hAnsi="Arial"/>
          <w:sz w:val="20"/>
          <w:szCs w:val="20"/>
          <w:lang w:val="fr-FR"/>
        </w:rPr>
        <w:t xml:space="preserve">L’artiste japonais </w:t>
      </w:r>
      <w:r w:rsidRPr="006E39A5">
        <w:rPr>
          <w:rFonts w:ascii="Arial" w:hAnsi="Arial"/>
          <w:b/>
          <w:bCs/>
          <w:sz w:val="20"/>
          <w:szCs w:val="20"/>
          <w:lang w:val="fr-FR"/>
        </w:rPr>
        <w:t>Rintaro Fuse</w:t>
      </w:r>
      <w:r w:rsidRPr="006E39A5">
        <w:rPr>
          <w:rFonts w:ascii="Arial" w:hAnsi="Arial"/>
          <w:sz w:val="20"/>
          <w:szCs w:val="20"/>
          <w:lang w:val="fr-FR"/>
        </w:rPr>
        <w:t xml:space="preserve"> </w:t>
      </w:r>
      <w:r w:rsidRPr="006A2AC0">
        <w:rPr>
          <w:rFonts w:ascii="Arial" w:hAnsi="Arial"/>
          <w:sz w:val="20"/>
          <w:szCs w:val="20"/>
          <w:lang w:val="fr-FR"/>
        </w:rPr>
        <w:t xml:space="preserve">présente </w:t>
      </w:r>
      <w:r w:rsidRPr="006E39A5">
        <w:rPr>
          <w:rFonts w:ascii="Arial" w:hAnsi="Arial"/>
          <w:sz w:val="20"/>
          <w:szCs w:val="20"/>
          <w:lang w:val="fr-FR"/>
        </w:rPr>
        <w:t xml:space="preserve">A Sundial for the Night Without End </w:t>
      </w:r>
      <w:r w:rsidR="00D63DA8" w:rsidRPr="006E39A5">
        <w:rPr>
          <w:rFonts w:ascii="Arial" w:hAnsi="Arial"/>
          <w:sz w:val="20"/>
          <w:szCs w:val="20"/>
          <w:lang w:val="fr-FR"/>
        </w:rPr>
        <w:t xml:space="preserve">- </w:t>
      </w:r>
      <w:r w:rsidRPr="006A2AC0">
        <w:rPr>
          <w:rFonts w:ascii="Arial" w:hAnsi="Arial"/>
          <w:sz w:val="20"/>
          <w:szCs w:val="20"/>
          <w:lang w:val="fr-FR"/>
        </w:rPr>
        <w:t>Un cadran solaire pour la nuit sans fin</w:t>
      </w:r>
      <w:r>
        <w:rPr>
          <w:rFonts w:ascii="Arial" w:hAnsi="Arial"/>
          <w:sz w:val="20"/>
          <w:szCs w:val="20"/>
          <w:lang w:val="fr-FR"/>
        </w:rPr>
        <w:t xml:space="preserve"> -</w:t>
      </w:r>
      <w:r w:rsidRPr="006A2AC0">
        <w:rPr>
          <w:rFonts w:ascii="Arial" w:hAnsi="Arial"/>
          <w:sz w:val="20"/>
          <w:szCs w:val="20"/>
          <w:lang w:val="fr-FR"/>
        </w:rPr>
        <w:t xml:space="preserve"> </w:t>
      </w:r>
      <w:r>
        <w:rPr>
          <w:rFonts w:ascii="Arial" w:hAnsi="Arial"/>
          <w:sz w:val="20"/>
          <w:szCs w:val="20"/>
          <w:lang w:val="fr-FR"/>
        </w:rPr>
        <w:t xml:space="preserve">qui </w:t>
      </w:r>
      <w:r w:rsidR="0090069A">
        <w:rPr>
          <w:rFonts w:ascii="Arial" w:hAnsi="Arial"/>
          <w:sz w:val="20"/>
          <w:szCs w:val="20"/>
          <w:lang w:val="fr-FR"/>
        </w:rPr>
        <w:t>consiste en</w:t>
      </w:r>
      <w:r>
        <w:rPr>
          <w:rFonts w:ascii="Arial" w:hAnsi="Arial"/>
          <w:sz w:val="20"/>
          <w:szCs w:val="20"/>
          <w:lang w:val="fr-FR"/>
        </w:rPr>
        <w:t xml:space="preserve"> </w:t>
      </w:r>
      <w:r w:rsidRPr="006A2AC0">
        <w:rPr>
          <w:rFonts w:ascii="Arial" w:hAnsi="Arial"/>
          <w:sz w:val="20"/>
          <w:szCs w:val="20"/>
          <w:lang w:val="fr-FR"/>
        </w:rPr>
        <w:t xml:space="preserve">un cadran solaire sculptural conçu pour un monde sans soleil. Réalisée en acier inoxydable poli, l’œuvre reflète son environnement tout en alignant trois gnomons sur les </w:t>
      </w:r>
      <w:r w:rsidRPr="006A2AC0">
        <w:rPr>
          <w:rFonts w:ascii="Arial" w:hAnsi="Arial"/>
          <w:sz w:val="20"/>
          <w:szCs w:val="20"/>
          <w:lang w:val="fr-FR"/>
        </w:rPr>
        <w:lastRenderedPageBreak/>
        <w:t>étoiles polaires du passé, du présent et du futur. Installée sous le dôme du musée, elle transforme le temps cosmique en une méditation sur la mémoire, l’absence et la persistance de l’éternité.</w:t>
      </w:r>
    </w:p>
    <w:p w14:paraId="051986C7" w14:textId="77777777" w:rsidR="006A2AC0" w:rsidRPr="006A2AC0" w:rsidRDefault="006A2AC0" w:rsidP="006A2AC0">
      <w:pPr>
        <w:rPr>
          <w:i/>
          <w:iCs/>
          <w:lang w:val="fr-FR"/>
        </w:rPr>
      </w:pPr>
    </w:p>
    <w:p w14:paraId="0E63C0A0" w14:textId="6C41BD58" w:rsidR="006A2AC0" w:rsidRPr="006A2AC0" w:rsidRDefault="006A2AC0" w:rsidP="006A2AC0">
      <w:pPr>
        <w:pStyle w:val="Body"/>
        <w:jc w:val="both"/>
        <w:rPr>
          <w:rFonts w:ascii="Arial" w:hAnsi="Arial"/>
          <w:sz w:val="20"/>
          <w:szCs w:val="20"/>
          <w:lang w:val="fr-FR"/>
        </w:rPr>
      </w:pPr>
      <w:r w:rsidRPr="006A2AC0">
        <w:rPr>
          <w:rFonts w:ascii="Arial" w:hAnsi="Arial"/>
          <w:sz w:val="20"/>
          <w:szCs w:val="20"/>
          <w:lang w:val="fr-FR"/>
        </w:rPr>
        <w:t xml:space="preserve">Le duo d’architectes </w:t>
      </w:r>
      <w:r w:rsidRPr="006A2AC0">
        <w:rPr>
          <w:rFonts w:ascii="Arial" w:hAnsi="Arial"/>
          <w:b/>
          <w:bCs/>
          <w:sz w:val="20"/>
          <w:szCs w:val="20"/>
          <w:lang w:val="fr-FR"/>
        </w:rPr>
        <w:t>YOKOMAE et BOUAYAD</w:t>
      </w:r>
      <w:r w:rsidRPr="006A2AC0">
        <w:rPr>
          <w:rFonts w:ascii="Arial" w:hAnsi="Arial"/>
          <w:sz w:val="20"/>
          <w:szCs w:val="20"/>
          <w:lang w:val="fr-FR"/>
        </w:rPr>
        <w:t xml:space="preserve"> présente </w:t>
      </w:r>
      <w:r w:rsidRPr="006A2AC0">
        <w:rPr>
          <w:rFonts w:ascii="Arial" w:hAnsi="Arial"/>
          <w:i/>
          <w:iCs/>
          <w:sz w:val="20"/>
          <w:szCs w:val="20"/>
          <w:lang w:val="fr-FR"/>
        </w:rPr>
        <w:t>Choreography of a Cloud, Dancing Shadows</w:t>
      </w:r>
      <w:r>
        <w:rPr>
          <w:rFonts w:ascii="Arial" w:hAnsi="Arial"/>
          <w:sz w:val="20"/>
          <w:szCs w:val="20"/>
          <w:lang w:val="fr-FR"/>
        </w:rPr>
        <w:t xml:space="preserve"> - </w:t>
      </w:r>
      <w:r w:rsidRPr="006A2AC0">
        <w:rPr>
          <w:rFonts w:ascii="Arial" w:hAnsi="Arial"/>
          <w:sz w:val="20"/>
          <w:szCs w:val="20"/>
          <w:lang w:val="fr-FR"/>
        </w:rPr>
        <w:t xml:space="preserve">Chorégraphie d’un nuage, </w:t>
      </w:r>
      <w:r>
        <w:rPr>
          <w:rFonts w:ascii="Arial" w:hAnsi="Arial"/>
          <w:sz w:val="20"/>
          <w:szCs w:val="20"/>
          <w:lang w:val="fr-FR"/>
        </w:rPr>
        <w:t>O</w:t>
      </w:r>
      <w:r w:rsidRPr="006A2AC0">
        <w:rPr>
          <w:rFonts w:ascii="Arial" w:hAnsi="Arial"/>
          <w:sz w:val="20"/>
          <w:szCs w:val="20"/>
          <w:lang w:val="fr-FR"/>
        </w:rPr>
        <w:t>mbres dansantes</w:t>
      </w:r>
      <w:r>
        <w:rPr>
          <w:rFonts w:ascii="Arial" w:hAnsi="Arial"/>
          <w:sz w:val="20"/>
          <w:szCs w:val="20"/>
          <w:lang w:val="fr-FR"/>
        </w:rPr>
        <w:t xml:space="preserve"> - </w:t>
      </w:r>
      <w:r w:rsidRPr="006A2AC0">
        <w:rPr>
          <w:rFonts w:ascii="Arial" w:hAnsi="Arial"/>
          <w:sz w:val="20"/>
          <w:szCs w:val="20"/>
          <w:lang w:val="fr-FR"/>
        </w:rPr>
        <w:t>un pavillon en treillis d’acier inoxydable oscillant, inspiré du tissage traditionnel Kawachi. Soutenue par de fines colonnes, la structure génère des motifs changeants de lumière et d’ombre.</w:t>
      </w:r>
    </w:p>
    <w:p w14:paraId="7D32328F" w14:textId="5A80A2BA" w:rsidR="00C7521F" w:rsidRPr="00931A26" w:rsidRDefault="00931A26" w:rsidP="00931A26">
      <w:pPr>
        <w:pStyle w:val="Body"/>
        <w:jc w:val="both"/>
        <w:rPr>
          <w:rFonts w:ascii="Arial" w:hAnsi="Arial"/>
          <w:sz w:val="20"/>
          <w:szCs w:val="20"/>
          <w:lang w:val="fr-FR"/>
        </w:rPr>
      </w:pPr>
      <w:r w:rsidRPr="00931A26">
        <w:rPr>
          <w:rFonts w:ascii="Arial" w:hAnsi="Arial"/>
          <w:sz w:val="20"/>
          <w:szCs w:val="20"/>
          <w:lang w:val="fr-FR"/>
        </w:rPr>
        <w:t xml:space="preserve">Utilisant des matériaux industriels recyclés, le duo, </w:t>
      </w:r>
      <w:r w:rsidRPr="00931A26">
        <w:rPr>
          <w:rFonts w:ascii="Arial" w:hAnsi="Arial"/>
          <w:b/>
          <w:bCs/>
          <w:sz w:val="20"/>
          <w:szCs w:val="20"/>
          <w:lang w:val="fr-FR"/>
        </w:rPr>
        <w:t>Takuma Yokomae</w:t>
      </w:r>
      <w:r w:rsidRPr="00931A26">
        <w:rPr>
          <w:rFonts w:ascii="Arial" w:hAnsi="Arial"/>
          <w:sz w:val="20"/>
          <w:szCs w:val="20"/>
          <w:lang w:val="fr-FR"/>
        </w:rPr>
        <w:t xml:space="preserve"> du Japon et le </w:t>
      </w:r>
      <w:r w:rsidRPr="00931A26">
        <w:rPr>
          <w:rFonts w:ascii="Arial" w:hAnsi="Arial"/>
          <w:b/>
          <w:bCs/>
          <w:sz w:val="20"/>
          <w:szCs w:val="20"/>
          <w:lang w:val="fr-FR"/>
        </w:rPr>
        <w:t>Dr Ghali Bouayad</w:t>
      </w:r>
      <w:r w:rsidRPr="00931A26">
        <w:rPr>
          <w:rFonts w:ascii="Arial" w:hAnsi="Arial"/>
          <w:sz w:val="20"/>
          <w:szCs w:val="20"/>
          <w:lang w:val="fr-FR"/>
        </w:rPr>
        <w:t xml:space="preserve"> du Maroc, a créé une installation qui fusionne les traditions de design de Tokyo et de Marrakech, offrant un espace poétique où l’architecture se meut comme la nature.</w:t>
      </w:r>
    </w:p>
    <w:p w14:paraId="4B7A650F" w14:textId="12BA7829" w:rsidR="00931A26" w:rsidRPr="00931A26" w:rsidRDefault="00931A26" w:rsidP="00931A26">
      <w:pPr>
        <w:pStyle w:val="Body"/>
        <w:jc w:val="both"/>
        <w:rPr>
          <w:rFonts w:ascii="Arial" w:hAnsi="Arial"/>
          <w:sz w:val="20"/>
          <w:szCs w:val="20"/>
          <w:lang w:val="fr-FR"/>
        </w:rPr>
      </w:pPr>
      <w:r w:rsidRPr="00931A26">
        <w:rPr>
          <w:rFonts w:ascii="Arial" w:hAnsi="Arial"/>
          <w:b/>
          <w:bCs/>
          <w:sz w:val="20"/>
          <w:szCs w:val="20"/>
          <w:lang w:val="fr-FR"/>
        </w:rPr>
        <w:t>Sophie Mayuko Arni, commissaire de l'exposition et membre du jury d'Art Here 2025</w:t>
      </w:r>
      <w:r w:rsidRPr="00931A26">
        <w:rPr>
          <w:rFonts w:ascii="Arial" w:hAnsi="Arial"/>
          <w:sz w:val="20"/>
          <w:szCs w:val="20"/>
          <w:lang w:val="fr-FR"/>
        </w:rPr>
        <w:t>, a annoncé</w:t>
      </w:r>
      <w:r>
        <w:rPr>
          <w:rFonts w:ascii="Lad" w:hAnsi="Lad" w:cs="Lad"/>
          <w:color w:val="auto"/>
          <w:lang w:val="fr-FR"/>
        </w:rPr>
        <w:t> </w:t>
      </w:r>
      <w:r w:rsidR="007C12C2" w:rsidRPr="00931A26">
        <w:rPr>
          <w:rFonts w:ascii="Arial" w:hAnsi="Arial"/>
          <w:sz w:val="20"/>
          <w:szCs w:val="20"/>
          <w:lang w:val="fr-FR"/>
        </w:rPr>
        <w:t xml:space="preserve">: </w:t>
      </w:r>
      <w:r w:rsidRPr="00931A26">
        <w:rPr>
          <w:rFonts w:ascii="Arial" w:hAnsi="Arial"/>
          <w:sz w:val="20"/>
          <w:szCs w:val="20"/>
          <w:lang w:val="fr-FR"/>
        </w:rPr>
        <w:t xml:space="preserve">« La lumière douce embrasse la beauté. Les ombres mènent à l’essence des choses. À travers le thème </w:t>
      </w:r>
      <w:r w:rsidR="0090069A">
        <w:rPr>
          <w:rFonts w:ascii="Arial" w:hAnsi="Arial"/>
          <w:sz w:val="20"/>
          <w:szCs w:val="20"/>
          <w:lang w:val="fr-FR"/>
        </w:rPr>
        <w:t xml:space="preserve">établi cette année pour </w:t>
      </w:r>
      <w:r w:rsidRPr="0090069A">
        <w:rPr>
          <w:rFonts w:ascii="Arial" w:hAnsi="Arial"/>
          <w:i/>
          <w:iCs/>
          <w:sz w:val="20"/>
          <w:szCs w:val="20"/>
          <w:lang w:val="fr-FR"/>
        </w:rPr>
        <w:t>Art Here</w:t>
      </w:r>
      <w:r w:rsidRPr="00931A26">
        <w:rPr>
          <w:rFonts w:ascii="Arial" w:hAnsi="Arial"/>
          <w:sz w:val="20"/>
          <w:szCs w:val="20"/>
          <w:lang w:val="fr-FR"/>
        </w:rPr>
        <w:t>, les artistes présélectionnés liés au Golfe et au Japon ont réexaminé les ombres de manière réfléchie, minutieuse et innovante. Je suis extrêmement enthousiaste de dévoiler ces œuvres au Louvre Abu Dhabi, un musée à mission universelle, à un moment où la contemplation esthétique ne peut que nous rappeler l’unité dans l’instant présent. »</w:t>
      </w:r>
    </w:p>
    <w:p w14:paraId="1DF39306" w14:textId="4952A5ED" w:rsidR="00420ACF" w:rsidRPr="00420ACF" w:rsidRDefault="00420ACF" w:rsidP="00420ACF">
      <w:pPr>
        <w:pStyle w:val="Body"/>
        <w:jc w:val="both"/>
        <w:rPr>
          <w:rFonts w:ascii="Arial" w:hAnsi="Arial"/>
          <w:sz w:val="20"/>
          <w:szCs w:val="20"/>
          <w:lang w:val="fr-FR"/>
        </w:rPr>
      </w:pPr>
      <w:r w:rsidRPr="00420ACF">
        <w:rPr>
          <w:rFonts w:ascii="Arial" w:hAnsi="Arial"/>
          <w:sz w:val="20"/>
          <w:szCs w:val="20"/>
          <w:lang w:val="fr-FR"/>
        </w:rPr>
        <w:t xml:space="preserve">Les finalistes du Richard Mille Art Prize 2025 ont été sélectionnés par un jury distingué composé de cinq membres, présidé par S.A. Cheikh Zayed bin Sultan bin Khalifa Al Nahyan, conseiller au ministère des Affaires étrangères, fondateur de UAE Unlimited, collectionneur d’art et membre du conseil d’administration du British Museum et du Centre Pompidou. Le jury comprend également le Dr Guilhem André, directeur </w:t>
      </w:r>
      <w:r w:rsidR="005D6F69" w:rsidRPr="005D6F69">
        <w:rPr>
          <w:rFonts w:ascii="Arial" w:hAnsi="Arial"/>
          <w:sz w:val="20"/>
          <w:szCs w:val="20"/>
          <w:lang w:val="fr-FR"/>
        </w:rPr>
        <w:t>de la gestion scientifique, de la conservation et des collections du Louvre Abu Dhabi</w:t>
      </w:r>
      <w:r w:rsidRPr="005D6F69">
        <w:rPr>
          <w:rFonts w:ascii="Arial" w:hAnsi="Arial"/>
          <w:sz w:val="20"/>
          <w:szCs w:val="20"/>
          <w:lang w:val="fr-FR"/>
        </w:rPr>
        <w:t xml:space="preserve">; </w:t>
      </w:r>
      <w:r w:rsidRPr="00420ACF">
        <w:rPr>
          <w:rFonts w:ascii="Arial" w:hAnsi="Arial"/>
          <w:sz w:val="20"/>
          <w:szCs w:val="20"/>
          <w:lang w:val="fr-FR"/>
        </w:rPr>
        <w:t>Maya Allison, directrice exécutive fondatrice des galeries d’art et commissaire en chef à l’Université de New York à Abu Dhabi ; Sophie Mayuko Arni, commissaire invitée de l’exposition Art Here 2025, curatrice suisse-japonaise et rédactrice fondatrice de Global Art Daily ; et Yuko Hasegawa, professeure de recherche à l’École supérieure de gestion de l’Université de Kyoto et ancienne directrice du Musée d’art contemporain du XXIe siècle de Kanazawa.</w:t>
      </w:r>
    </w:p>
    <w:p w14:paraId="245C1B55" w14:textId="384D0EFF" w:rsidR="00420ACF" w:rsidRPr="00420ACF" w:rsidRDefault="00F60452" w:rsidP="00420ACF">
      <w:pPr>
        <w:pStyle w:val="Body"/>
        <w:jc w:val="both"/>
        <w:rPr>
          <w:rFonts w:ascii="Arial" w:hAnsi="Arial"/>
          <w:sz w:val="20"/>
          <w:szCs w:val="20"/>
          <w:lang w:val="fr-FR"/>
        </w:rPr>
      </w:pPr>
      <w:r>
        <w:rPr>
          <w:rFonts w:ascii="Arial" w:hAnsi="Arial"/>
          <w:sz w:val="20"/>
          <w:szCs w:val="20"/>
          <w:lang w:val="fr-FR"/>
        </w:rPr>
        <w:t>L’</w:t>
      </w:r>
      <w:r w:rsidR="00420ACF" w:rsidRPr="00420ACF">
        <w:rPr>
          <w:rFonts w:ascii="Arial" w:hAnsi="Arial"/>
          <w:sz w:val="20"/>
          <w:szCs w:val="20"/>
          <w:lang w:val="fr-FR"/>
        </w:rPr>
        <w:t>édition</w:t>
      </w:r>
      <w:r>
        <w:rPr>
          <w:rFonts w:ascii="Arial" w:hAnsi="Arial"/>
          <w:sz w:val="20"/>
          <w:szCs w:val="20"/>
          <w:lang w:val="fr-FR"/>
        </w:rPr>
        <w:t xml:space="preserve"> de cette année</w:t>
      </w:r>
      <w:r w:rsidR="00420ACF" w:rsidRPr="00420ACF">
        <w:rPr>
          <w:rFonts w:ascii="Arial" w:hAnsi="Arial"/>
          <w:sz w:val="20"/>
          <w:szCs w:val="20"/>
          <w:lang w:val="fr-FR"/>
        </w:rPr>
        <w:t xml:space="preserve"> a reçu plus de 400</w:t>
      </w:r>
      <w:r>
        <w:rPr>
          <w:rFonts w:ascii="Arial" w:hAnsi="Arial"/>
          <w:sz w:val="20"/>
          <w:szCs w:val="20"/>
          <w:lang w:val="fr-FR"/>
        </w:rPr>
        <w:t> </w:t>
      </w:r>
      <w:r w:rsidR="00420ACF" w:rsidRPr="00420ACF">
        <w:rPr>
          <w:rFonts w:ascii="Arial" w:hAnsi="Arial"/>
          <w:sz w:val="20"/>
          <w:szCs w:val="20"/>
          <w:lang w:val="fr-FR"/>
        </w:rPr>
        <w:t xml:space="preserve">propositions d’artistes basés dans les pays du CCG et au Japon, </w:t>
      </w:r>
      <w:r w:rsidR="001854C7">
        <w:rPr>
          <w:rFonts w:ascii="Arial" w:hAnsi="Arial"/>
          <w:sz w:val="20"/>
          <w:szCs w:val="20"/>
          <w:lang w:val="fr-FR"/>
        </w:rPr>
        <w:t>aux côtés</w:t>
      </w:r>
      <w:r w:rsidR="00420ACF" w:rsidRPr="00420ACF">
        <w:rPr>
          <w:rFonts w:ascii="Arial" w:hAnsi="Arial"/>
          <w:sz w:val="20"/>
          <w:szCs w:val="20"/>
          <w:lang w:val="fr-FR"/>
        </w:rPr>
        <w:t xml:space="preserve"> d’artistes originaires de la région du Moyen-Orient et de l’Afrique du Nord</w:t>
      </w:r>
      <w:r w:rsidR="0090069A">
        <w:rPr>
          <w:rFonts w:ascii="Arial" w:hAnsi="Arial"/>
          <w:sz w:val="20"/>
          <w:szCs w:val="20"/>
          <w:lang w:val="fr-FR"/>
        </w:rPr>
        <w:t>, a</w:t>
      </w:r>
      <w:r w:rsidR="00420ACF" w:rsidRPr="00420ACF">
        <w:rPr>
          <w:rFonts w:ascii="Arial" w:hAnsi="Arial"/>
          <w:sz w:val="20"/>
          <w:szCs w:val="20"/>
          <w:lang w:val="fr-FR"/>
        </w:rPr>
        <w:t xml:space="preserve">yant un lien avec le CCG, </w:t>
      </w:r>
      <w:r w:rsidR="00574DEB">
        <w:rPr>
          <w:rFonts w:ascii="Arial" w:hAnsi="Arial"/>
          <w:sz w:val="20"/>
          <w:szCs w:val="20"/>
          <w:lang w:val="fr-FR"/>
        </w:rPr>
        <w:t>parmi lesquelles</w:t>
      </w:r>
      <w:r w:rsidR="00574DEB" w:rsidRPr="00420ACF">
        <w:rPr>
          <w:rFonts w:ascii="Arial" w:hAnsi="Arial"/>
          <w:sz w:val="20"/>
          <w:szCs w:val="20"/>
          <w:lang w:val="fr-FR"/>
        </w:rPr>
        <w:t xml:space="preserve"> </w:t>
      </w:r>
      <w:r w:rsidR="00420ACF" w:rsidRPr="00420ACF">
        <w:rPr>
          <w:rFonts w:ascii="Arial" w:hAnsi="Arial"/>
          <w:sz w:val="20"/>
          <w:szCs w:val="20"/>
          <w:lang w:val="fr-FR"/>
        </w:rPr>
        <w:t>six œuvres ont été présélectionnées. Le lauréat du Richard Mille Art Prize sera annoncé en décembre.</w:t>
      </w:r>
    </w:p>
    <w:p w14:paraId="7D323294" w14:textId="092426CE" w:rsidR="00C7521F" w:rsidRPr="00821085" w:rsidRDefault="00420ACF">
      <w:pPr>
        <w:pStyle w:val="Body"/>
        <w:jc w:val="center"/>
        <w:rPr>
          <w:rFonts w:ascii="Arial" w:eastAsia="Arial" w:hAnsi="Arial" w:cs="Arial"/>
          <w:b/>
          <w:bCs/>
          <w:sz w:val="20"/>
          <w:szCs w:val="20"/>
          <w:lang w:val="fr-FR"/>
        </w:rPr>
      </w:pPr>
      <w:r w:rsidRPr="00B813AF">
        <w:rPr>
          <w:rFonts w:ascii="Arial" w:hAnsi="Arial"/>
          <w:b/>
          <w:bCs/>
          <w:sz w:val="20"/>
          <w:szCs w:val="20"/>
          <w:lang w:val="fr-FR"/>
        </w:rPr>
        <w:t>Fin</w:t>
      </w:r>
    </w:p>
    <w:p w14:paraId="50ED4628" w14:textId="77777777" w:rsidR="00420ACF" w:rsidRPr="003B5AB7" w:rsidRDefault="00420ACF" w:rsidP="00420ACF">
      <w:pPr>
        <w:rPr>
          <w:rFonts w:ascii="Calibri" w:hAnsi="Calibri" w:cs="Calibri"/>
          <w:b/>
          <w:bCs/>
          <w:color w:val="000000" w:themeColor="text1"/>
          <w:lang w:val="fr-FR"/>
        </w:rPr>
      </w:pPr>
      <w:r w:rsidRPr="003B5AB7">
        <w:rPr>
          <w:rFonts w:ascii="Calibri" w:hAnsi="Calibri" w:cs="Calibri" w:hint="eastAsia"/>
          <w:b/>
          <w:bCs/>
          <w:color w:val="000000" w:themeColor="text1"/>
          <w:lang w:val="fr-FR"/>
        </w:rPr>
        <w:t xml:space="preserve">Notes aux </w:t>
      </w:r>
      <w:r w:rsidRPr="003B5AB7">
        <w:rPr>
          <w:rFonts w:ascii="Calibri" w:hAnsi="Calibri" w:cs="Calibri"/>
          <w:b/>
          <w:bCs/>
          <w:color w:val="000000" w:themeColor="text1"/>
          <w:lang w:val="fr-FR"/>
        </w:rPr>
        <w:t>rédacteurs</w:t>
      </w:r>
      <w:r w:rsidRPr="003B5AB7">
        <w:rPr>
          <w:rFonts w:ascii="Calibri" w:hAnsi="Calibri" w:cs="Calibri" w:hint="eastAsia"/>
          <w:b/>
          <w:bCs/>
          <w:color w:val="000000" w:themeColor="text1"/>
          <w:lang w:val="fr-FR"/>
        </w:rPr>
        <w:t xml:space="preserve"> en chef</w:t>
      </w:r>
    </w:p>
    <w:p w14:paraId="34FF32B8" w14:textId="77777777" w:rsidR="00420ACF" w:rsidRPr="00821085" w:rsidRDefault="00420ACF">
      <w:pPr>
        <w:pStyle w:val="Body"/>
        <w:shd w:val="clear" w:color="auto" w:fill="D9D9D9"/>
        <w:spacing w:after="0" w:line="240" w:lineRule="auto"/>
        <w:jc w:val="both"/>
        <w:rPr>
          <w:rFonts w:ascii="Arial" w:hAnsi="Arial"/>
          <w:b/>
          <w:bCs/>
          <w:sz w:val="18"/>
          <w:szCs w:val="18"/>
          <w:lang w:val="fr-FR"/>
        </w:rPr>
      </w:pPr>
    </w:p>
    <w:p w14:paraId="46F099BE" w14:textId="77777777" w:rsidR="00420ACF" w:rsidRPr="0090069A" w:rsidRDefault="00420ACF" w:rsidP="00420ACF">
      <w:pPr>
        <w:rPr>
          <w:rFonts w:ascii="Arial" w:eastAsia="Aptos" w:hAnsi="Arial" w:cs="Aptos"/>
          <w:b/>
          <w:bCs/>
          <w:color w:val="000000"/>
          <w:kern w:val="2"/>
          <w:sz w:val="20"/>
          <w:szCs w:val="20"/>
          <w:u w:color="000000"/>
          <w:lang w:val="fr-FR"/>
          <w14:textOutline w14:w="0" w14:cap="flat" w14:cmpd="sng" w14:algn="ctr">
            <w14:noFill/>
            <w14:prstDash w14:val="solid"/>
            <w14:bevel/>
          </w14:textOutline>
        </w:rPr>
      </w:pPr>
      <w:r w:rsidRPr="0090069A">
        <w:rPr>
          <w:rFonts w:ascii="Arial" w:eastAsia="Aptos" w:hAnsi="Arial" w:cs="Aptos" w:hint="eastAsia"/>
          <w:b/>
          <w:bCs/>
          <w:color w:val="000000"/>
          <w:kern w:val="2"/>
          <w:sz w:val="20"/>
          <w:szCs w:val="20"/>
          <w:u w:color="000000"/>
          <w:lang w:val="fr-FR"/>
          <w14:textOutline w14:w="0" w14:cap="flat" w14:cmpd="sng" w14:algn="ctr">
            <w14:noFill/>
            <w14:prstDash w14:val="solid"/>
            <w14:bevel/>
          </w14:textOutline>
        </w:rPr>
        <w:t>Horaires du Louvre Abu</w:t>
      </w:r>
      <w:r w:rsidRPr="0090069A">
        <w:rPr>
          <w:rFonts w:ascii="Arial" w:eastAsia="Aptos" w:hAnsi="Arial" w:cs="Aptos"/>
          <w:b/>
          <w:bCs/>
          <w:color w:val="000000"/>
          <w:kern w:val="2"/>
          <w:sz w:val="20"/>
          <w:szCs w:val="20"/>
          <w:u w:color="000000"/>
          <w:lang w:val="fr-FR"/>
          <w14:textOutline w14:w="0" w14:cap="flat" w14:cmpd="sng" w14:algn="ctr">
            <w14:noFill/>
            <w14:prstDash w14:val="solid"/>
            <w14:bevel/>
          </w14:textOutline>
        </w:rPr>
        <w:t xml:space="preserve"> </w:t>
      </w:r>
      <w:r w:rsidRPr="0090069A">
        <w:rPr>
          <w:rFonts w:ascii="Arial" w:eastAsia="Aptos" w:hAnsi="Arial" w:cs="Aptos" w:hint="eastAsia"/>
          <w:b/>
          <w:bCs/>
          <w:color w:val="000000"/>
          <w:kern w:val="2"/>
          <w:sz w:val="20"/>
          <w:szCs w:val="20"/>
          <w:u w:color="000000"/>
          <w:lang w:val="fr-FR"/>
          <w14:textOutline w14:w="0" w14:cap="flat" w14:cmpd="sng" w14:algn="ctr">
            <w14:noFill/>
            <w14:prstDash w14:val="solid"/>
            <w14:bevel/>
          </w14:textOutline>
        </w:rPr>
        <w:t>Dhabi</w:t>
      </w:r>
      <w:r w:rsidRPr="0090069A">
        <w:rPr>
          <w:rFonts w:ascii="Arial" w:eastAsia="Aptos" w:hAnsi="Arial" w:cs="Aptos"/>
          <w:b/>
          <w:bCs/>
          <w:color w:val="000000"/>
          <w:kern w:val="2"/>
          <w:sz w:val="20"/>
          <w:szCs w:val="20"/>
          <w:u w:color="000000"/>
          <w:lang w:val="fr-FR"/>
          <w14:textOutline w14:w="0" w14:cap="flat" w14:cmpd="sng" w14:algn="ctr">
            <w14:noFill/>
            <w14:prstDash w14:val="solid"/>
            <w14:bevel/>
          </w14:textOutline>
        </w:rPr>
        <w:t xml:space="preserve"> :</w:t>
      </w:r>
    </w:p>
    <w:p w14:paraId="01033CC0" w14:textId="77777777" w:rsidR="00420ACF" w:rsidRDefault="00420ACF" w:rsidP="00420ACF">
      <w:pPr>
        <w:jc w:val="both"/>
        <w:rPr>
          <w:rFonts w:asciiTheme="majorBidi" w:hAnsiTheme="majorBidi" w:cstheme="majorBidi"/>
          <w:lang w:val="fr-FR"/>
        </w:rPr>
      </w:pPr>
    </w:p>
    <w:p w14:paraId="2992B71F" w14:textId="7D8B2B5B" w:rsidR="00420ACF" w:rsidRPr="00420ACF" w:rsidRDefault="00420ACF" w:rsidP="00420ACF">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 xml:space="preserve">Musée : Horaires d’ouverture : 10 h-18 h 30 (mar.-jeu.) ; horaires prolongés : 10 h-20 h 30 (ven.-dim.) ; fermé le lundi. </w:t>
      </w:r>
    </w:p>
    <w:p w14:paraId="7C87EF88" w14:textId="23FE143B" w:rsidR="00420ACF" w:rsidRPr="00420ACF" w:rsidRDefault="00420ACF" w:rsidP="00420ACF">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Dôme : Horaires d’ouverture : 10 h- minuit (mar.-dim.) ; dernière entrée 23 h ; fermé le lundi.</w:t>
      </w:r>
    </w:p>
    <w:p w14:paraId="05FD3B5B" w14:textId="08FAFB2A" w:rsidR="00420ACF" w:rsidRPr="00420ACF" w:rsidRDefault="00420ACF" w:rsidP="00420ACF">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Café du musée : Horaires d’ouverture : 10 h-19 h (mar.-jeu.) ; horaires prolongés : 10 h - 21 h (ven.-dim.). Fermé le lundi.</w:t>
      </w:r>
    </w:p>
    <w:p w14:paraId="5EDACAC7" w14:textId="4AB0ECBB" w:rsidR="00420ACF" w:rsidRPr="00420ACF" w:rsidRDefault="00420ACF" w:rsidP="00420ACF">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Art Lounge : Horaires d’ouverture : 15h-minuit (dernières commandes à 23h) ; fermé le lundi et pendant l’été.</w:t>
      </w:r>
    </w:p>
    <w:p w14:paraId="0AA22164" w14:textId="46689FCD" w:rsidR="00420ACF" w:rsidRPr="00420ACF" w:rsidRDefault="00420ACF" w:rsidP="00420ACF">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Fouquet’s Abu Dhabi et Marta Bar : Horaires d’ouverture : midi-minuit (dernières commandes à 22h) (mar-jeu, dim) ; week-end : midi-1h (dernières commandes à 22h30) (ven.-sam.) ; fermé le lundi.</w:t>
      </w:r>
    </w:p>
    <w:p w14:paraId="3D8F0D78" w14:textId="38862442" w:rsidR="00420ACF" w:rsidRPr="00420ACF" w:rsidRDefault="00420ACF" w:rsidP="00420ACF">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br/>
        <w:t>Suivez le Louvre Abu Dhabi sur les réseaux sociaux : Facebook (</w:t>
      </w:r>
      <w:hyperlink r:id="rId12" w:history="1">
        <w:r w:rsidRPr="00821085">
          <w:rPr>
            <w:rFonts w:ascii="Arial" w:eastAsia="Aptos" w:hAnsi="Arial" w:cs="Aptos"/>
            <w:color w:val="000000"/>
            <w:kern w:val="2"/>
            <w:sz w:val="20"/>
            <w:szCs w:val="20"/>
            <w:u w:color="000000"/>
            <w:lang w:val="fr-FR"/>
            <w14:textOutline w14:w="0" w14:cap="flat" w14:cmpd="sng" w14:algn="ctr">
              <w14:noFill/>
              <w14:prstDash w14:val="solid"/>
              <w14:bevel/>
            </w14:textOutline>
          </w:rPr>
          <w:t>Louvre Abu Dhabi</w:t>
        </w:r>
      </w:hyperlink>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 Twitter (</w:t>
      </w:r>
      <w:hyperlink r:id="rId13" w:history="1">
        <w:r w:rsidRPr="00821085">
          <w:rPr>
            <w:rFonts w:ascii="Arial" w:eastAsia="Aptos" w:hAnsi="Arial" w:cs="Aptos"/>
            <w:color w:val="000000"/>
            <w:kern w:val="2"/>
            <w:sz w:val="20"/>
            <w:szCs w:val="20"/>
            <w:u w:color="000000"/>
            <w:lang w:val="fr-FR"/>
            <w14:textOutline w14:w="0" w14:cap="flat" w14:cmpd="sng" w14:algn="ctr">
              <w14:noFill/>
              <w14:prstDash w14:val="solid"/>
              <w14:bevel/>
            </w14:textOutline>
          </w:rPr>
          <w:t>@LouvreAbuDhabi</w:t>
        </w:r>
      </w:hyperlink>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 et Instagram (</w:t>
      </w:r>
      <w:hyperlink r:id="rId14" w:history="1">
        <w:r w:rsidRPr="00821085">
          <w:rPr>
            <w:rFonts w:ascii="Arial" w:eastAsia="Aptos" w:hAnsi="Arial" w:cs="Aptos"/>
            <w:color w:val="000000"/>
            <w:kern w:val="2"/>
            <w:sz w:val="20"/>
            <w:szCs w:val="20"/>
            <w:u w:color="000000"/>
            <w:lang w:val="fr-FR"/>
            <w14:textOutline w14:w="0" w14:cap="flat" w14:cmpd="sng" w14:algn="ctr">
              <w14:noFill/>
              <w14:prstDash w14:val="solid"/>
              <w14:bevel/>
            </w14:textOutline>
          </w:rPr>
          <w:t>@LouvreAbuDhabi</w:t>
        </w:r>
      </w:hyperlink>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 #LouvreAbuDhabi.</w:t>
      </w:r>
    </w:p>
    <w:p w14:paraId="19BEE0F4" w14:textId="77777777" w:rsidR="00420ACF" w:rsidRPr="00420ACF" w:rsidRDefault="00420ACF" w:rsidP="00420ACF">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p>
    <w:p w14:paraId="074B4E0E" w14:textId="5886FB19" w:rsidR="008A4CA9" w:rsidRDefault="00420ACF" w:rsidP="00180DC6">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 xml:space="preserve">Pour plus d’informations sur les politiques et principes d’acquisition du Louvre Abu Dhabi, consultez </w:t>
      </w:r>
      <w:hyperlink r:id="rId15" w:history="1">
        <w:r w:rsidRPr="00821085">
          <w:rPr>
            <w:rFonts w:ascii="Arial" w:eastAsia="Aptos" w:hAnsi="Arial" w:cs="Aptos"/>
            <w:color w:val="000000"/>
            <w:kern w:val="2"/>
            <w:sz w:val="20"/>
            <w:szCs w:val="20"/>
            <w:u w:color="000000"/>
            <w:lang w:val="fr-FR"/>
            <w14:textOutline w14:w="0" w14:cap="flat" w14:cmpd="sng" w14:algn="ctr">
              <w14:noFill/>
              <w14:prstDash w14:val="solid"/>
              <w14:bevel/>
            </w14:textOutline>
          </w:rPr>
          <w:t>notre</w:t>
        </w:r>
      </w:hyperlink>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 xml:space="preserve"> </w:t>
      </w:r>
      <w:hyperlink r:id="rId16" w:history="1">
        <w:r w:rsidRPr="00821085">
          <w:rPr>
            <w:rFonts w:ascii="Arial" w:eastAsia="Aptos" w:hAnsi="Arial" w:cs="Aptos"/>
            <w:color w:val="000000"/>
            <w:kern w:val="2"/>
            <w:sz w:val="20"/>
            <w:szCs w:val="20"/>
            <w:u w:color="000000"/>
            <w:lang w:val="fr-FR"/>
            <w14:textOutline w14:w="0" w14:cap="flat" w14:cmpd="sng" w14:algn="ctr">
              <w14:noFill/>
              <w14:prstDash w14:val="solid"/>
              <w14:bevel/>
            </w14:textOutline>
          </w:rPr>
          <w:t>site web</w:t>
        </w:r>
      </w:hyperlink>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w:t>
      </w:r>
    </w:p>
    <w:p w14:paraId="5844B58C" w14:textId="77777777" w:rsidR="00180DC6" w:rsidRPr="00180DC6" w:rsidRDefault="00180DC6" w:rsidP="00180DC6">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p>
    <w:p w14:paraId="1B3E57CC" w14:textId="77777777" w:rsidR="008A4CA9" w:rsidRDefault="008A4CA9" w:rsidP="008A4CA9">
      <w:pPr>
        <w:rPr>
          <w:b/>
          <w:bCs/>
          <w:sz w:val="18"/>
          <w:szCs w:val="18"/>
          <w:highlight w:val="lightGray"/>
          <w:lang w:val="fr-FR"/>
        </w:rPr>
      </w:pPr>
      <w:r>
        <w:rPr>
          <w:b/>
          <w:bCs/>
          <w:sz w:val="18"/>
          <w:szCs w:val="18"/>
          <w:highlight w:val="lightGray"/>
          <w:lang w:val="fr-FR"/>
        </w:rPr>
        <w:t xml:space="preserve">À PROPOS DU LOUVRE ABU DHABI </w:t>
      </w:r>
    </w:p>
    <w:p w14:paraId="41BAE17C" w14:textId="77777777" w:rsidR="008A4CA9" w:rsidRDefault="008A4CA9" w:rsidP="008A4CA9">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 xml:space="preserve">Fondé suite à un accord exceptionnel entre les gouvernements d’Abu Dhabi et de la France, le Louvre Abu Dhabi a été conçu par Jean Nouvel et ouvert sur l’île de Saadiyat en novembre 2017. Le musée </w:t>
      </w: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lastRenderedPageBreak/>
        <w:t xml:space="preserve">s’inspire de l’architecture islamique traditionnelle et son dôme monumental crée une pluie d’effets lumineux et un espace social unique qui rassemble les gens.  Le Louvre Abu Dhabi célèbre la créativité universelle de l’humanité et invite le public à voir l’humanité sous un nouveau jour. Grâce à son approche conservatrice innovante, le musée se concentre sur une meilleure compréhension entre les cultures : à travers des histoires de créativité humaine qui transcendent les civilisations, les géographies et les temps. </w:t>
      </w:r>
    </w:p>
    <w:p w14:paraId="36754561" w14:textId="77777777" w:rsidR="00A10859" w:rsidRPr="00420ACF" w:rsidRDefault="00A10859" w:rsidP="008A4CA9">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p>
    <w:p w14:paraId="39692A9D" w14:textId="77777777" w:rsidR="008A4CA9" w:rsidRPr="00420ACF" w:rsidRDefault="008A4CA9" w:rsidP="008A4CA9">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 xml:space="preserve">La collection croissante du musée est inégalée dans la région et couvre des milliers d’années d’histoire de l’Homme, avec notamment des outils préhistoriques, des objets anciens, des textes religieux, des peintures emblématiques et des œuvres d’art contemporaines. La collection permanente est complétée par des prêts réguliers de la part de 19 institutions partenaires françaises, ainsi que de musées régionaux et internationaux. </w:t>
      </w:r>
    </w:p>
    <w:p w14:paraId="12949757" w14:textId="77777777" w:rsidR="008A4CA9" w:rsidRPr="00420ACF" w:rsidRDefault="008A4CA9" w:rsidP="008A4CA9">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t>Le Louvre Abu Dhabi est un terrain d’essai pour de nouvelles idées dans un monde globalisé et défend de nouvelles générations de leaders culturels. Ses expositions internationales, sa programmation et son Musée des enfants sont des plateformes inclusives qui relient les communautés et apportent du divertissement à tous.</w:t>
      </w:r>
      <w:r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br/>
      </w:r>
    </w:p>
    <w:p w14:paraId="697E90F6" w14:textId="77777777" w:rsidR="008A4CA9" w:rsidRDefault="008A4CA9" w:rsidP="008A4CA9">
      <w:pPr>
        <w:jc w:val="both"/>
        <w:rPr>
          <w:b/>
          <w:bCs/>
          <w:sz w:val="18"/>
          <w:szCs w:val="18"/>
          <w:highlight w:val="lightGray"/>
          <w:lang w:val="fr-FR"/>
        </w:rPr>
      </w:pPr>
      <w:r>
        <w:rPr>
          <w:b/>
          <w:bCs/>
          <w:sz w:val="18"/>
          <w:szCs w:val="18"/>
          <w:highlight w:val="lightGray"/>
          <w:lang w:val="fr-FR"/>
        </w:rPr>
        <w:t xml:space="preserve">À PROPOS DE RICHARD MILLE </w:t>
      </w:r>
    </w:p>
    <w:p w14:paraId="5A0B2526" w14:textId="77777777" w:rsidR="00B20FED" w:rsidRDefault="00B20FED" w:rsidP="00B20FED">
      <w:pPr>
        <w:jc w:val="both"/>
        <w:rPr>
          <w:rFonts w:ascii="Arial" w:eastAsia="Aptos" w:hAnsi="Arial" w:cs="Aptos"/>
          <w:color w:val="000000"/>
          <w:kern w:val="2"/>
          <w:sz w:val="20"/>
          <w:szCs w:val="20"/>
          <w:u w:color="000000"/>
          <w:lang w:val="de-AT"/>
          <w14:textOutline w14:w="0" w14:cap="flat" w14:cmpd="sng" w14:algn="ctr">
            <w14:noFill/>
            <w14:prstDash w14:val="solid"/>
            <w14:bevel/>
          </w14:textOutline>
        </w:rPr>
      </w:pPr>
      <w:r w:rsidRPr="00B20FED">
        <w:rPr>
          <w:rFonts w:ascii="Arial" w:eastAsia="Aptos" w:hAnsi="Arial" w:cs="Aptos" w:hint="cs"/>
          <w:color w:val="000000"/>
          <w:kern w:val="2"/>
          <w:sz w:val="20"/>
          <w:szCs w:val="20"/>
          <w:u w:color="000000"/>
          <w:lang w:val="de-AT"/>
          <w14:textOutline w14:w="0" w14:cap="flat" w14:cmpd="sng" w14:algn="ctr">
            <w14:noFill/>
            <w14:prstDash w14:val="solid"/>
            <w14:bevel/>
          </w14:textOutline>
        </w:rPr>
        <w:t>Depuis la création de sa marque en 2001, l’approche de Richard Mille par rapport à l’horlogerie a toujours été de libérer la montre de son rôle restreint de simple outil de mesure du temps, en augmentant et en étendant son potentiel visuel en la plaçant directement à la croisée des chemins entre le design, l’art et l’architecture. Aujourd’hui, vingt ans plus tard, la collection horlogère de Richard Mille comprend plus de quatre-vingts modèles, tous conçus et produits avec la même passion, les mêmes principes intangibles et la même esthétique visionnaire ayant guidé la première création de Richard Mille.</w:t>
      </w:r>
    </w:p>
    <w:p w14:paraId="3FCB2505" w14:textId="77777777" w:rsidR="00A10859" w:rsidRPr="00B20FED" w:rsidRDefault="00A10859" w:rsidP="00B20FED">
      <w:pPr>
        <w:jc w:val="both"/>
        <w:rPr>
          <w:rFonts w:ascii="Arial" w:eastAsia="Aptos" w:hAnsi="Arial" w:cs="Aptos"/>
          <w:color w:val="000000"/>
          <w:kern w:val="2"/>
          <w:sz w:val="20"/>
          <w:szCs w:val="20"/>
          <w:u w:color="000000"/>
          <w:lang w:val="de-AT"/>
          <w14:textOutline w14:w="0" w14:cap="flat" w14:cmpd="sng" w14:algn="ctr">
            <w14:noFill/>
            <w14:prstDash w14:val="solid"/>
            <w14:bevel/>
          </w14:textOutline>
        </w:rPr>
      </w:pPr>
    </w:p>
    <w:p w14:paraId="6873D8BF" w14:textId="3B5D37CD" w:rsidR="008A4CA9" w:rsidRPr="00B20FED" w:rsidRDefault="00B20FED" w:rsidP="00B20FED">
      <w:pPr>
        <w:jc w:val="both"/>
        <w:rPr>
          <w:rFonts w:ascii="Arial" w:eastAsia="Aptos" w:hAnsi="Arial" w:cs="Aptos"/>
          <w:color w:val="000000"/>
          <w:kern w:val="2"/>
          <w:sz w:val="20"/>
          <w:szCs w:val="20"/>
          <w:u w:color="000000"/>
          <w:lang w:val="de-AT"/>
          <w14:textOutline w14:w="0" w14:cap="flat" w14:cmpd="sng" w14:algn="ctr">
            <w14:noFill/>
            <w14:prstDash w14:val="solid"/>
            <w14:bevel/>
          </w14:textOutline>
        </w:rPr>
      </w:pPr>
      <w:r w:rsidRPr="00B20FED">
        <w:rPr>
          <w:rFonts w:ascii="Arial" w:eastAsia="Aptos" w:hAnsi="Arial" w:cs="Aptos" w:hint="cs"/>
          <w:color w:val="000000"/>
          <w:kern w:val="2"/>
          <w:sz w:val="20"/>
          <w:szCs w:val="20"/>
          <w:u w:color="000000"/>
          <w:lang w:val="de-AT"/>
          <w14:textOutline w14:w="0" w14:cap="flat" w14:cmpd="sng" w14:algn="ctr">
            <w14:noFill/>
            <w14:prstDash w14:val="solid"/>
            <w14:bevel/>
          </w14:textOutline>
        </w:rPr>
        <w:t>Les montres de Richard Mille sont des merveilles de technologie, conçues spécifiquement pour les personnes passionnées et amoureuses de la haute horlogerie suisse. Elles exploitent toutes les possibilités offertes par l’espace tridimensionnel, défini à la fois par le volume du boîtier et par le mouvement lui-même. Quelques centimètres suffisent, au sein de cet environnement hautement confiné, pour servir de toile vierge à la créativité horlogère.</w:t>
      </w:r>
      <w:r w:rsidR="008A4CA9" w:rsidRPr="00420ACF">
        <w:rPr>
          <w:rFonts w:ascii="Arial" w:eastAsia="Aptos" w:hAnsi="Arial" w:cs="Aptos"/>
          <w:color w:val="000000"/>
          <w:kern w:val="2"/>
          <w:sz w:val="20"/>
          <w:szCs w:val="20"/>
          <w:u w:color="000000"/>
          <w:lang w:val="fr-FR"/>
          <w14:textOutline w14:w="0" w14:cap="flat" w14:cmpd="sng" w14:algn="ctr">
            <w14:noFill/>
            <w14:prstDash w14:val="solid"/>
            <w14:bevel/>
          </w14:textOutline>
        </w:rPr>
        <w:br/>
      </w:r>
    </w:p>
    <w:p w14:paraId="3F4EFECA" w14:textId="77777777" w:rsidR="008A4CA9" w:rsidRDefault="008A4CA9" w:rsidP="008A4CA9">
      <w:pPr>
        <w:rPr>
          <w:b/>
          <w:bCs/>
          <w:sz w:val="18"/>
          <w:szCs w:val="18"/>
          <w:highlight w:val="lightGray"/>
          <w:lang w:val="fr-FR"/>
        </w:rPr>
      </w:pPr>
      <w:r>
        <w:rPr>
          <w:b/>
          <w:bCs/>
          <w:sz w:val="18"/>
          <w:szCs w:val="18"/>
          <w:highlight w:val="lightGray"/>
          <w:lang w:val="fr-FR"/>
        </w:rPr>
        <w:t>À PROPOS DU DÉPARTEMENT DE LA CULTURE ET DU TOURISME — ABU DHABI</w:t>
      </w:r>
    </w:p>
    <w:p w14:paraId="54915855" w14:textId="77777777" w:rsidR="008A4CA9" w:rsidRDefault="008A4CA9" w:rsidP="008A4CA9">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123788">
        <w:rPr>
          <w:rFonts w:ascii="Arial" w:eastAsia="Aptos" w:hAnsi="Arial" w:cs="Aptos"/>
          <w:color w:val="000000"/>
          <w:kern w:val="2"/>
          <w:sz w:val="20"/>
          <w:szCs w:val="20"/>
          <w:u w:color="000000"/>
          <w:lang w:val="fr-FR"/>
          <w14:textOutline w14:w="0" w14:cap="flat" w14:cmpd="sng" w14:algn="ctr">
            <w14:noFill/>
            <w14:prstDash w14:val="solid"/>
            <w14:bevel/>
          </w14:textOutline>
        </w:rPr>
        <w:t>Le département de la Culture et du Tourisme d’Abu Dhabi (DCT d’Abu Dhabi) favorise la croissance durable des secteurs de la culture et du tourisme d’Abu Dhabi et de ses industries créatives, alimente le progrès économique et contribue à la réalisation des ambitions mondiales plus larges d’Abu Dhabi. En s’associant à des organisations qui définissent la position de l’émirat comme destination internationale de premier plan, le DCT d’Abu Dhabi s’efforce d’unir l’écosystème autour d’une vision commune du potentiel de l’émirat, de coordonner les efforts et les investissements, de proposer des solutions innovantes et d’utiliser les meilleurs outils, politiques et systèmes pour soutenir les industries culturelles et touristiques.</w:t>
      </w:r>
    </w:p>
    <w:p w14:paraId="1E19922A" w14:textId="77777777" w:rsidR="00A10859" w:rsidRPr="00123788" w:rsidRDefault="00A10859" w:rsidP="008A4CA9">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p>
    <w:p w14:paraId="66F6A39F" w14:textId="77777777" w:rsidR="008A4CA9" w:rsidRPr="00123788" w:rsidRDefault="008A4CA9" w:rsidP="008A4CA9">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123788">
        <w:rPr>
          <w:rFonts w:ascii="Arial" w:eastAsia="Aptos" w:hAnsi="Arial" w:cs="Aptos"/>
          <w:color w:val="000000"/>
          <w:kern w:val="2"/>
          <w:sz w:val="20"/>
          <w:szCs w:val="20"/>
          <w:u w:color="000000"/>
          <w:lang w:val="fr-FR"/>
          <w14:textOutline w14:w="0" w14:cap="flat" w14:cmpd="sng" w14:algn="ctr">
            <w14:noFill/>
            <w14:prstDash w14:val="solid"/>
            <w14:bevel/>
          </w14:textOutline>
        </w:rPr>
        <w:t>La vision du DCT d’Abu Dhabi englobe la population, le patrimoine et le paysage de l’émirat. Nous nous efforçons d’améliorer le statut d’Abu Dhabi en tant que lieu d’authenticité, d’innovation et d’expériences inégalées, représenté par ses traditions vivantes d’hospitalité, ses initiatives pionnières et sa pensée créative.</w:t>
      </w:r>
      <w:r w:rsidRPr="00123788">
        <w:rPr>
          <w:rFonts w:ascii="Arial" w:eastAsia="Aptos" w:hAnsi="Arial" w:cs="Aptos"/>
          <w:color w:val="000000"/>
          <w:kern w:val="2"/>
          <w:sz w:val="20"/>
          <w:szCs w:val="20"/>
          <w:u w:color="000000"/>
          <w:lang w:val="fr-FR"/>
          <w14:textOutline w14:w="0" w14:cap="flat" w14:cmpd="sng" w14:algn="ctr">
            <w14:noFill/>
            <w14:prstDash w14:val="solid"/>
            <w14:bevel/>
          </w14:textOutline>
        </w:rPr>
        <w:br/>
      </w:r>
    </w:p>
    <w:p w14:paraId="1EEFF670" w14:textId="77777777" w:rsidR="008A4CA9" w:rsidRDefault="008A4CA9" w:rsidP="008A4CA9">
      <w:pPr>
        <w:rPr>
          <w:b/>
          <w:bCs/>
          <w:sz w:val="18"/>
          <w:szCs w:val="18"/>
          <w:highlight w:val="lightGray"/>
          <w:lang w:val="fr-FR"/>
        </w:rPr>
      </w:pPr>
      <w:r>
        <w:rPr>
          <w:b/>
          <w:bCs/>
          <w:sz w:val="18"/>
          <w:szCs w:val="18"/>
          <w:highlight w:val="lightGray"/>
          <w:lang w:val="fr-FR"/>
        </w:rPr>
        <w:t>À PROPOS DU QUARTIER CULTUREL DE SAADIYAT</w:t>
      </w:r>
    </w:p>
    <w:p w14:paraId="76CDDAD6" w14:textId="77777777" w:rsidR="008A4CA9" w:rsidRPr="00123788" w:rsidRDefault="008A4CA9" w:rsidP="008A4CA9">
      <w:pPr>
        <w:jc w:val="both"/>
        <w:rPr>
          <w:rFonts w:ascii="Arial" w:eastAsia="Aptos" w:hAnsi="Arial" w:cs="Aptos"/>
          <w:color w:val="000000"/>
          <w:kern w:val="2"/>
          <w:sz w:val="20"/>
          <w:szCs w:val="20"/>
          <w:u w:color="000000"/>
          <w:lang w:val="fr-FR"/>
          <w14:textOutline w14:w="0" w14:cap="flat" w14:cmpd="sng" w14:algn="ctr">
            <w14:noFill/>
            <w14:prstDash w14:val="solid"/>
            <w14:bevel/>
          </w14:textOutline>
        </w:rPr>
      </w:pPr>
      <w:r w:rsidRPr="00123788">
        <w:rPr>
          <w:rFonts w:ascii="Arial" w:eastAsia="Aptos" w:hAnsi="Arial" w:cs="Aptos"/>
          <w:color w:val="000000"/>
          <w:kern w:val="2"/>
          <w:sz w:val="20"/>
          <w:szCs w:val="20"/>
          <w:u w:color="000000"/>
          <w:lang w:val="fr-FR"/>
          <w14:textOutline w14:w="0" w14:cap="flat" w14:cmpd="sng" w14:algn="ctr">
            <w14:noFill/>
            <w14:prstDash w14:val="solid"/>
            <w14:bevel/>
          </w14:textOutline>
        </w:rPr>
        <w:t>Abritant le Louvre Abu Dhabi, le Berklee Abu Dhabi, le Manarat Al Saadiyat, l’Abrahamic Family House ainsi que le musée national Zayed, le teamLab Phenomena Abu Dhabi, le Guggenheim Abu Dhabi et le musée d’histoire naturelle d’Abu Dhabi qui ouvriront prochainement, le quartier culturel de Saadiyat est l’une des plus grandes concentrations d’institutions culturelles. Le quartier culturel de Saadiyat est une plateforme mondiale, fruit d’un riche patrimoine culturel, qui célèbre les traditions et favorise une culture équitable. Il incarne l’autonomisation, en mettant en valeur les musées, les collections et les récits qui soutiennent le patrimoine de la région tout en promouvant un paysage culturel mondial diversifié. Le quartier culturel de Saadiyat témoigne de l’engagement d’Abu Dhabi à préserver le patrimoine tout en adoptant une vision tournée vers l’avenir. Le quartier invite le monde à découvrir diverses cultures, en favorisant le dialogue et l’échange, et offre un espace culturel mondial qui soutient la région et le Sud.</w:t>
      </w:r>
    </w:p>
    <w:p w14:paraId="52512DC4" w14:textId="77777777" w:rsidR="008A4CA9" w:rsidRPr="004200E9" w:rsidRDefault="008A4CA9" w:rsidP="008A4CA9">
      <w:pPr>
        <w:jc w:val="both"/>
        <w:rPr>
          <w:rFonts w:ascii="Lad" w:hAnsi="Lad" w:cs="Lad"/>
          <w:color w:val="000000"/>
          <w:sz w:val="18"/>
          <w:szCs w:val="18"/>
          <w:lang w:val="fr-FR"/>
        </w:rPr>
      </w:pPr>
    </w:p>
    <w:p w14:paraId="00AF408D" w14:textId="77777777" w:rsidR="008A4CA9" w:rsidRPr="008A4CA9" w:rsidRDefault="008A4CA9">
      <w:pPr>
        <w:pStyle w:val="Body"/>
        <w:spacing w:line="240" w:lineRule="auto"/>
        <w:jc w:val="both"/>
        <w:rPr>
          <w:lang w:val="fr-FR"/>
        </w:rPr>
      </w:pPr>
    </w:p>
    <w:sectPr w:rsidR="008A4CA9" w:rsidRPr="008A4CA9">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8302E" w14:textId="77777777" w:rsidR="00F16AA7" w:rsidRDefault="00F16AA7">
      <w:r>
        <w:separator/>
      </w:r>
    </w:p>
  </w:endnote>
  <w:endnote w:type="continuationSeparator" w:id="0">
    <w:p w14:paraId="21E3771F" w14:textId="77777777" w:rsidR="00F16AA7" w:rsidRDefault="00F16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Helvetica Neue">
    <w:altName w:val="Arial"/>
    <w:charset w:val="00"/>
    <w:family w:val="auto"/>
    <w:pitch w:val="variable"/>
    <w:sig w:usb0="E50002FF" w:usb1="500079DB" w:usb2="00000010" w:usb3="00000000" w:csb0="00000001" w:csb1="00000000"/>
  </w:font>
  <w:font w:name="Lad">
    <w:altName w:val="Cambria"/>
    <w:charset w:val="00"/>
    <w:family w:val="auto"/>
    <w:pitch w:val="variable"/>
    <w:sig w:usb0="00002003"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089CB" w14:textId="05F2C004" w:rsidR="001C7A31" w:rsidRPr="001C7A31" w:rsidRDefault="001C7A31" w:rsidP="001C7A31">
    <w:pPr>
      <w:pStyle w:val="Footer"/>
      <w:jc w:val="center"/>
    </w:pPr>
    <w:fldSimple w:instr=" DOCPROPERTY bjFooterEvenPageDocProperty \* MERGEFORMAT " w:fldLock="1">
      <w:r w:rsidRPr="001C7A31">
        <w:rPr>
          <w:rFonts w:ascii="Tahoma" w:hAnsi="Tahoma" w:cs="Tahoma"/>
          <w:color w:val="6CAE3F"/>
        </w:rPr>
        <w:t>Public</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B7DE" w14:textId="7B76D4CF" w:rsidR="001C7A31" w:rsidRDefault="001C7A31" w:rsidP="001C7A31">
    <w:pPr>
      <w:pStyle w:val="Footer"/>
      <w:tabs>
        <w:tab w:val="clear" w:pos="9026"/>
        <w:tab w:val="right" w:pos="9000"/>
      </w:tabs>
      <w:jc w:val="center"/>
      <w:rPr>
        <w:rFonts w:ascii="Tahoma" w:hAnsi="Tahoma"/>
        <w:color w:val="E97132"/>
        <w:u w:color="E97132"/>
      </w:rPr>
    </w:pPr>
    <w:r>
      <w:rPr>
        <w:rFonts w:ascii="Tahoma" w:hAnsi="Tahoma"/>
        <w:color w:val="E97132"/>
        <w:u w:color="E97132"/>
      </w:rPr>
      <w:fldChar w:fldCharType="begin" w:fldLock="1"/>
    </w:r>
    <w:r>
      <w:rPr>
        <w:rFonts w:ascii="Tahoma" w:hAnsi="Tahoma"/>
        <w:color w:val="E97132"/>
        <w:u w:color="E97132"/>
      </w:rPr>
      <w:instrText xml:space="preserve"> DOCPROPERTY bjFooterBothDocProperty \* MERGEFORMAT </w:instrText>
    </w:r>
    <w:r>
      <w:rPr>
        <w:rFonts w:ascii="Tahoma" w:hAnsi="Tahoma"/>
        <w:color w:val="E97132"/>
        <w:u w:color="E97132"/>
      </w:rPr>
      <w:fldChar w:fldCharType="separate"/>
    </w:r>
    <w:r w:rsidRPr="001C7A31">
      <w:rPr>
        <w:rFonts w:ascii="Tahoma" w:hAnsi="Tahoma" w:cs="Tahoma"/>
        <w:color w:val="6CAE3F"/>
        <w:u w:color="E97132"/>
      </w:rPr>
      <w:t>Public</w:t>
    </w:r>
    <w:r>
      <w:rPr>
        <w:rFonts w:ascii="Tahoma" w:hAnsi="Tahoma"/>
        <w:color w:val="E97132"/>
        <w:u w:color="E97132"/>
      </w:rPr>
      <w:fldChar w:fldCharType="end"/>
    </w:r>
  </w:p>
  <w:p w14:paraId="7D3232B7" w14:textId="61EF2F20" w:rsidR="00C7521F" w:rsidRDefault="007C12C2">
    <w:pPr>
      <w:pStyle w:val="Footer"/>
      <w:tabs>
        <w:tab w:val="clear" w:pos="9026"/>
        <w:tab w:val="right" w:pos="9000"/>
      </w:tabs>
      <w:jc w:val="center"/>
    </w:pPr>
    <w:r>
      <w:rPr>
        <w:rFonts w:ascii="Tahoma" w:hAnsi="Tahoma"/>
        <w:color w:val="E97132"/>
        <w:u w:color="E97132"/>
      </w:rPr>
      <w:t>Restricted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5BA55" w14:textId="3C7B5524" w:rsidR="001C7A31" w:rsidRPr="001C7A31" w:rsidRDefault="001C7A31" w:rsidP="001C7A31">
    <w:pPr>
      <w:pStyle w:val="Footer"/>
      <w:jc w:val="center"/>
    </w:pPr>
    <w:fldSimple w:instr=" DOCPROPERTY bjFooterFirstPageDocProperty \* MERGEFORMAT " w:fldLock="1">
      <w:r w:rsidRPr="001C7A31">
        <w:rPr>
          <w:rFonts w:ascii="Tahoma" w:hAnsi="Tahoma" w:cs="Tahoma"/>
          <w:color w:val="6CAE3F"/>
        </w:rPr>
        <w:t>Public</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D0FEF" w14:textId="77777777" w:rsidR="00F16AA7" w:rsidRDefault="00F16AA7">
      <w:r>
        <w:separator/>
      </w:r>
    </w:p>
  </w:footnote>
  <w:footnote w:type="continuationSeparator" w:id="0">
    <w:p w14:paraId="041FF5A7" w14:textId="77777777" w:rsidR="00F16AA7" w:rsidRDefault="00F16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954E2" w14:textId="49C7141D" w:rsidR="001C7A31" w:rsidRPr="001C7A31" w:rsidRDefault="001C7A31" w:rsidP="001C7A31">
    <w:pPr>
      <w:pStyle w:val="Header"/>
      <w:jc w:val="center"/>
    </w:pPr>
    <w:fldSimple w:instr=" DOCPROPERTY bjHeaderEvenPageDocProperty \* MERGEFORMAT " w:fldLock="1">
      <w:r w:rsidRPr="001C7A31">
        <w:rPr>
          <w:rFonts w:ascii="Tahoma" w:hAnsi="Tahoma" w:cs="Tahoma"/>
          <w:color w:val="6CAE3F"/>
        </w:rPr>
        <w:t>Public</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3107" w14:textId="033A1F21" w:rsidR="001C7A31" w:rsidRDefault="001C7A31" w:rsidP="001C7A31">
    <w:pPr>
      <w:pStyle w:val="Body"/>
      <w:jc w:val="center"/>
      <w:rPr>
        <w:rFonts w:ascii="Tahoma" w:hAnsi="Tahoma"/>
        <w:color w:val="E97132"/>
        <w:u w:color="E97132"/>
      </w:rPr>
    </w:pPr>
    <w:r>
      <w:rPr>
        <w:rFonts w:ascii="Tahoma" w:hAnsi="Tahoma"/>
        <w:color w:val="E97132"/>
        <w:u w:color="E97132"/>
      </w:rPr>
      <w:fldChar w:fldCharType="begin" w:fldLock="1"/>
    </w:r>
    <w:r>
      <w:rPr>
        <w:rFonts w:ascii="Tahoma" w:hAnsi="Tahoma"/>
        <w:color w:val="E97132"/>
        <w:u w:color="E97132"/>
      </w:rPr>
      <w:instrText xml:space="preserve"> DOCPROPERTY bjHeaderBothDocProperty \* MERGEFORMAT </w:instrText>
    </w:r>
    <w:r>
      <w:rPr>
        <w:rFonts w:ascii="Tahoma" w:hAnsi="Tahoma"/>
        <w:color w:val="E97132"/>
        <w:u w:color="E97132"/>
      </w:rPr>
      <w:fldChar w:fldCharType="separate"/>
    </w:r>
    <w:r w:rsidRPr="001C7A31">
      <w:rPr>
        <w:rFonts w:ascii="Tahoma" w:hAnsi="Tahoma" w:cs="Tahoma"/>
        <w:color w:val="6CAE3F"/>
        <w:u w:color="E97132"/>
      </w:rPr>
      <w:t>Public</w:t>
    </w:r>
    <w:r>
      <w:rPr>
        <w:rFonts w:ascii="Tahoma" w:hAnsi="Tahoma"/>
        <w:color w:val="E97132"/>
        <w:u w:color="E97132"/>
      </w:rPr>
      <w:fldChar w:fldCharType="end"/>
    </w:r>
  </w:p>
  <w:p w14:paraId="7D3232B6" w14:textId="456A4B2F" w:rsidR="00C7521F" w:rsidRDefault="007C12C2">
    <w:pPr>
      <w:pStyle w:val="Body"/>
      <w:jc w:val="center"/>
    </w:pPr>
    <w:r>
      <w:rPr>
        <w:noProof/>
      </w:rPr>
      <w:drawing>
        <wp:anchor distT="152400" distB="152400" distL="152400" distR="152400" simplePos="0" relativeHeight="251658240" behindDoc="1" locked="0" layoutInCell="1" allowOverlap="1" wp14:anchorId="7D3232B8" wp14:editId="7D3232B9">
          <wp:simplePos x="0" y="0"/>
          <wp:positionH relativeFrom="page">
            <wp:posOffset>5341620</wp:posOffset>
          </wp:positionH>
          <wp:positionV relativeFrom="page">
            <wp:posOffset>587375</wp:posOffset>
          </wp:positionV>
          <wp:extent cx="1645920" cy="124460"/>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645920" cy="124460"/>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7D3232BA" wp14:editId="7D3232BB">
          <wp:simplePos x="0" y="0"/>
          <wp:positionH relativeFrom="page">
            <wp:posOffset>411480</wp:posOffset>
          </wp:positionH>
          <wp:positionV relativeFrom="page">
            <wp:posOffset>344805</wp:posOffset>
          </wp:positionV>
          <wp:extent cx="1630680" cy="505460"/>
          <wp:effectExtent l="0" t="0" r="0" b="0"/>
          <wp:wrapNone/>
          <wp:docPr id="1073741826" name="officeArt object" descr="C:\Users\SMHALJ~1\AppData\Local\Temp\Rar$DRa0.366\Logo_Artwork_ Stacked\LAD_Stacked_logo\LAD_Stack_RGB_Black.jpg"/>
          <wp:cNvGraphicFramePr/>
          <a:graphic xmlns:a="http://schemas.openxmlformats.org/drawingml/2006/main">
            <a:graphicData uri="http://schemas.openxmlformats.org/drawingml/2006/picture">
              <pic:pic xmlns:pic="http://schemas.openxmlformats.org/drawingml/2006/picture">
                <pic:nvPicPr>
                  <pic:cNvPr id="1073741826" name="C:\Users\SMHALJ~1\AppData\Local\Temp\Rar$DRa0.366\Logo_Artwork_ Stacked\LAD_Stacked_logo\LAD_Stack_RGB_Black.jpg" descr="C:\Users\SMHALJ~1\AppData\Local\Temp\Rar$DRa0.366\Logo_Artwork_ Stacked\LAD_Stacked_logo\LAD_Stack_RGB_Black.jpg"/>
                  <pic:cNvPicPr>
                    <a:picLocks noChangeAspect="1"/>
                  </pic:cNvPicPr>
                </pic:nvPicPr>
                <pic:blipFill>
                  <a:blip r:embed="rId2"/>
                  <a:stretch>
                    <a:fillRect/>
                  </a:stretch>
                </pic:blipFill>
                <pic:spPr>
                  <a:xfrm>
                    <a:off x="0" y="0"/>
                    <a:ext cx="1630680" cy="505460"/>
                  </a:xfrm>
                  <a:prstGeom prst="rect">
                    <a:avLst/>
                  </a:prstGeom>
                  <a:ln w="12700" cap="flat">
                    <a:noFill/>
                    <a:miter lim="400000"/>
                  </a:ln>
                  <a:effectLst/>
                </pic:spPr>
              </pic:pic>
            </a:graphicData>
          </a:graphic>
        </wp:anchor>
      </w:drawing>
    </w:r>
    <w:r>
      <w:rPr>
        <w:rFonts w:ascii="Tahoma" w:hAnsi="Tahoma"/>
        <w:color w:val="E97132"/>
        <w:u w:color="E97132"/>
      </w:rPr>
      <w:t>Restricted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12F58" w14:textId="7699F9BE" w:rsidR="001C7A31" w:rsidRPr="001C7A31" w:rsidRDefault="001C7A31" w:rsidP="001C7A31">
    <w:pPr>
      <w:pStyle w:val="Header"/>
      <w:jc w:val="center"/>
    </w:pPr>
    <w:fldSimple w:instr=" DOCPROPERTY bjHeaderFirstPageDocProperty \* MERGEFORMAT " w:fldLock="1">
      <w:r w:rsidRPr="001C7A31">
        <w:rPr>
          <w:rFonts w:ascii="Tahoma" w:hAnsi="Tahoma" w:cs="Tahoma"/>
          <w:color w:val="6CAE3F"/>
        </w:rPr>
        <w:t>Public</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21F"/>
    <w:rsid w:val="0004765E"/>
    <w:rsid w:val="0008401C"/>
    <w:rsid w:val="000A3777"/>
    <w:rsid w:val="000D2B42"/>
    <w:rsid w:val="000D73BA"/>
    <w:rsid w:val="000F096F"/>
    <w:rsid w:val="00123788"/>
    <w:rsid w:val="001349AD"/>
    <w:rsid w:val="0014594A"/>
    <w:rsid w:val="00176B5D"/>
    <w:rsid w:val="00180DC6"/>
    <w:rsid w:val="001854C7"/>
    <w:rsid w:val="001B6DDD"/>
    <w:rsid w:val="001C7A31"/>
    <w:rsid w:val="002B0926"/>
    <w:rsid w:val="002C1393"/>
    <w:rsid w:val="002D4C0A"/>
    <w:rsid w:val="00310B4C"/>
    <w:rsid w:val="003C1EFB"/>
    <w:rsid w:val="003E2948"/>
    <w:rsid w:val="00420ACF"/>
    <w:rsid w:val="004767A1"/>
    <w:rsid w:val="004926EE"/>
    <w:rsid w:val="004A3B05"/>
    <w:rsid w:val="00543072"/>
    <w:rsid w:val="005677CC"/>
    <w:rsid w:val="00574DEB"/>
    <w:rsid w:val="005D6F69"/>
    <w:rsid w:val="006769A7"/>
    <w:rsid w:val="006A2AC0"/>
    <w:rsid w:val="006B029F"/>
    <w:rsid w:val="006E1F51"/>
    <w:rsid w:val="006E39A5"/>
    <w:rsid w:val="0073187C"/>
    <w:rsid w:val="00764002"/>
    <w:rsid w:val="00773120"/>
    <w:rsid w:val="00796E44"/>
    <w:rsid w:val="007C12C2"/>
    <w:rsid w:val="007E2FD9"/>
    <w:rsid w:val="007F28B5"/>
    <w:rsid w:val="00811F67"/>
    <w:rsid w:val="00814B9E"/>
    <w:rsid w:val="00821085"/>
    <w:rsid w:val="008A4CA9"/>
    <w:rsid w:val="008C010A"/>
    <w:rsid w:val="00900377"/>
    <w:rsid w:val="0090069A"/>
    <w:rsid w:val="00931A26"/>
    <w:rsid w:val="009A4C21"/>
    <w:rsid w:val="00A10859"/>
    <w:rsid w:val="00AA091C"/>
    <w:rsid w:val="00AC19DE"/>
    <w:rsid w:val="00B20FED"/>
    <w:rsid w:val="00B80C64"/>
    <w:rsid w:val="00B813AF"/>
    <w:rsid w:val="00C261EE"/>
    <w:rsid w:val="00C31966"/>
    <w:rsid w:val="00C73B46"/>
    <w:rsid w:val="00C7521F"/>
    <w:rsid w:val="00D56F99"/>
    <w:rsid w:val="00D63DA8"/>
    <w:rsid w:val="00D6507B"/>
    <w:rsid w:val="00D83D83"/>
    <w:rsid w:val="00DC0996"/>
    <w:rsid w:val="00DC7A11"/>
    <w:rsid w:val="00EA7278"/>
    <w:rsid w:val="00F16AA7"/>
    <w:rsid w:val="00F46C81"/>
    <w:rsid w:val="00F60452"/>
    <w:rsid w:val="00F953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2327D"/>
  <w15:docId w15:val="{B62E415D-DD2F-4E75-9A38-F92D5EF4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160" w:line="278" w:lineRule="auto"/>
    </w:pPr>
    <w:rPr>
      <w:rFonts w:ascii="Aptos" w:eastAsia="Aptos" w:hAnsi="Aptos" w:cs="Aptos"/>
      <w:color w:val="000000"/>
      <w:kern w:val="2"/>
      <w:sz w:val="24"/>
      <w:szCs w:val="24"/>
      <w:u w:color="000000"/>
      <w14:textOutline w14:w="0" w14:cap="flat" w14:cmpd="sng" w14:algn="ctr">
        <w14:noFill/>
        <w14:prstDash w14:val="solid"/>
        <w14:bevel/>
      </w14:textOutline>
    </w:rPr>
  </w:style>
  <w:style w:type="paragraph" w:styleId="Footer">
    <w:name w:val="footer"/>
    <w:pPr>
      <w:tabs>
        <w:tab w:val="center" w:pos="4513"/>
        <w:tab w:val="right" w:pos="9026"/>
      </w:tabs>
    </w:pPr>
    <w:rPr>
      <w:rFonts w:ascii="Aptos" w:eastAsia="Aptos" w:hAnsi="Aptos" w:cs="Aptos"/>
      <w:color w:val="000000"/>
      <w:kern w:val="2"/>
      <w:sz w:val="24"/>
      <w:szCs w:val="24"/>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11F6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Subject">
    <w:name w:val="annotation subject"/>
    <w:basedOn w:val="CommentText"/>
    <w:next w:val="CommentText"/>
    <w:link w:val="CommentSubjectChar"/>
    <w:uiPriority w:val="99"/>
    <w:semiHidden/>
    <w:unhideWhenUsed/>
    <w:rsid w:val="000F096F"/>
    <w:rPr>
      <w:b/>
      <w:bCs/>
    </w:rPr>
  </w:style>
  <w:style w:type="character" w:customStyle="1" w:styleId="CommentSubjectChar">
    <w:name w:val="Comment Subject Char"/>
    <w:basedOn w:val="CommentTextChar"/>
    <w:link w:val="CommentSubject"/>
    <w:uiPriority w:val="99"/>
    <w:semiHidden/>
    <w:rsid w:val="000F096F"/>
    <w:rPr>
      <w:b/>
      <w:bCs/>
    </w:rPr>
  </w:style>
  <w:style w:type="paragraph" w:styleId="NormalWeb">
    <w:name w:val="Normal (Web)"/>
    <w:basedOn w:val="Normal"/>
    <w:uiPriority w:val="99"/>
    <w:semiHidden/>
    <w:unhideWhenUsed/>
    <w:rsid w:val="00931A26"/>
  </w:style>
  <w:style w:type="paragraph" w:styleId="Header">
    <w:name w:val="header"/>
    <w:basedOn w:val="Normal"/>
    <w:link w:val="HeaderChar"/>
    <w:uiPriority w:val="99"/>
    <w:unhideWhenUsed/>
    <w:rsid w:val="00764002"/>
    <w:pPr>
      <w:tabs>
        <w:tab w:val="center" w:pos="4536"/>
        <w:tab w:val="right" w:pos="9072"/>
      </w:tabs>
    </w:pPr>
  </w:style>
  <w:style w:type="character" w:customStyle="1" w:styleId="HeaderChar">
    <w:name w:val="Header Char"/>
    <w:basedOn w:val="DefaultParagraphFont"/>
    <w:link w:val="Header"/>
    <w:uiPriority w:val="99"/>
    <w:rsid w:val="00764002"/>
    <w:rPr>
      <w:sz w:val="24"/>
      <w:szCs w:val="24"/>
    </w:rPr>
  </w:style>
  <w:style w:type="character" w:styleId="UnresolvedMention">
    <w:name w:val="Unresolved Mention"/>
    <w:basedOn w:val="DefaultParagraphFont"/>
    <w:uiPriority w:val="99"/>
    <w:semiHidden/>
    <w:unhideWhenUsed/>
    <w:rsid w:val="00D83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260890">
      <w:bodyDiv w:val="1"/>
      <w:marLeft w:val="0"/>
      <w:marRight w:val="0"/>
      <w:marTop w:val="0"/>
      <w:marBottom w:val="0"/>
      <w:divBdr>
        <w:top w:val="none" w:sz="0" w:space="0" w:color="auto"/>
        <w:left w:val="none" w:sz="0" w:space="0" w:color="auto"/>
        <w:bottom w:val="none" w:sz="0" w:space="0" w:color="auto"/>
        <w:right w:val="none" w:sz="0" w:space="0" w:color="auto"/>
      </w:divBdr>
    </w:div>
    <w:div w:id="446779006">
      <w:bodyDiv w:val="1"/>
      <w:marLeft w:val="0"/>
      <w:marRight w:val="0"/>
      <w:marTop w:val="0"/>
      <w:marBottom w:val="0"/>
      <w:divBdr>
        <w:top w:val="none" w:sz="0" w:space="0" w:color="auto"/>
        <w:left w:val="none" w:sz="0" w:space="0" w:color="auto"/>
        <w:bottom w:val="none" w:sz="0" w:space="0" w:color="auto"/>
        <w:right w:val="none" w:sz="0" w:space="0" w:color="auto"/>
      </w:divBdr>
    </w:div>
    <w:div w:id="1056509315">
      <w:bodyDiv w:val="1"/>
      <w:marLeft w:val="0"/>
      <w:marRight w:val="0"/>
      <w:marTop w:val="0"/>
      <w:marBottom w:val="0"/>
      <w:divBdr>
        <w:top w:val="none" w:sz="0" w:space="0" w:color="auto"/>
        <w:left w:val="none" w:sz="0" w:space="0" w:color="auto"/>
        <w:bottom w:val="none" w:sz="0" w:space="0" w:color="auto"/>
        <w:right w:val="none" w:sz="0" w:space="0" w:color="auto"/>
      </w:divBdr>
    </w:div>
    <w:div w:id="1457871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witter.com/LouvreAbuDhabi"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facebook.com/LouvreAbuDhabi"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ouvreabudhabi.ae/en/about-us/our-stor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louvreabudhabi.ae/en/about-us/our-story" TargetMode="External"/><Relationship Id="rId23" Type="http://schemas.openxmlformats.org/officeDocument/2006/relationships/fontTable" Target="fontTable.xml"/><Relationship Id="rId10" Type="http://schemas.openxmlformats.org/officeDocument/2006/relationships/hyperlink" Target="https://www.dropbox.com/scl/fo/g4mf90dcd9ltyysrpj03d/AB9pJe5kNff3_EbAi-kHMcE?rlkey=wax8mmw1nfyz43hbhlysh0qm2&amp;st=0j10qp8t&amp;dl=0" TargetMode="Externa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twitter.com/LouvreAbuDhabi"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c6e790-87c8-43c2-94d3-b3334556d2e7" xsi:nil="true"/>
    <lcf76f155ced4ddcb4097134ff3c332f xmlns="0da6bdbe-f887-43c0-b3d0-31306e54eac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286E3A5CC5FE41A95D803EB0D36F5C" ma:contentTypeVersion="18" ma:contentTypeDescription="Create a new document." ma:contentTypeScope="" ma:versionID="e78e45d62cd5cf7d59786b3bd3631f32">
  <xsd:schema xmlns:xsd="http://www.w3.org/2001/XMLSchema" xmlns:xs="http://www.w3.org/2001/XMLSchema" xmlns:p="http://schemas.microsoft.com/office/2006/metadata/properties" xmlns:ns2="4ac6e790-87c8-43c2-94d3-b3334556d2e7" xmlns:ns3="0da6bdbe-f887-43c0-b3d0-31306e54eac8" targetNamespace="http://schemas.microsoft.com/office/2006/metadata/properties" ma:root="true" ma:fieldsID="c61b3be96f1b3e36445f23e585957341" ns2:_="" ns3:_="">
    <xsd:import namespace="4ac6e790-87c8-43c2-94d3-b3334556d2e7"/>
    <xsd:import namespace="0da6bdbe-f887-43c0-b3d0-31306e54eac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6e790-87c8-43c2-94d3-b3334556d2e7"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b8b45d9-2046-46bc-a221-4279c2e0cbe0}" ma:internalName="TaxCatchAll" ma:showField="CatchAllData" ma:web="4ac6e790-87c8-43c2-94d3-b3334556d2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a6bdbe-f887-43c0-b3d0-31306e54eac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fc0f362-77fb-4930-bb16-9d91327cd2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d="http://www.w3.org/2001/XMLSchema" xmlns:xsi="http://www.w3.org/2001/XMLSchema-instance" xmlns="http://www.boldonjames.com/2008/01/sie/internal/label" sislVersion="0" policy="fb589ca4-3662-40b4-a29d-643516eb67b4" origin="userSelected">
  <element uid="id_classification_nonbusiness" value=""/>
</sisl>
</file>

<file path=customXml/itemProps1.xml><?xml version="1.0" encoding="utf-8"?>
<ds:datastoreItem xmlns:ds="http://schemas.openxmlformats.org/officeDocument/2006/customXml" ds:itemID="{A0E54786-1F8F-4726-81AA-6C2B03FABB79}">
  <ds:schemaRefs>
    <ds:schemaRef ds:uri="http://purl.org/dc/dcmitype/"/>
    <ds:schemaRef ds:uri="http://schemas.microsoft.com/office/infopath/2007/PartnerControls"/>
    <ds:schemaRef ds:uri="http://purl.org/dc/terms/"/>
    <ds:schemaRef ds:uri="http://purl.org/dc/elements/1.1/"/>
    <ds:schemaRef ds:uri="4ac6e790-87c8-43c2-94d3-b3334556d2e7"/>
    <ds:schemaRef ds:uri="http://schemas.openxmlformats.org/package/2006/metadata/core-properties"/>
    <ds:schemaRef ds:uri="http://schemas.microsoft.com/office/2006/documentManagement/types"/>
    <ds:schemaRef ds:uri="0da6bdbe-f887-43c0-b3d0-31306e54eac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0B56A46-A483-4104-91AE-B6E57BC5FBDB}">
  <ds:schemaRefs>
    <ds:schemaRef ds:uri="http://schemas.microsoft.com/sharepoint/v3/contenttype/forms"/>
  </ds:schemaRefs>
</ds:datastoreItem>
</file>

<file path=customXml/itemProps3.xml><?xml version="1.0" encoding="utf-8"?>
<ds:datastoreItem xmlns:ds="http://schemas.openxmlformats.org/officeDocument/2006/customXml" ds:itemID="{7B174E8C-C56B-4C6D-9B5E-8C7637742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6e790-87c8-43c2-94d3-b3334556d2e7"/>
    <ds:schemaRef ds:uri="0da6bdbe-f887-43c0-b3d0-31306e54e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14621D-9C14-4098-953D-CC04FBCD4DF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2425</Words>
  <Characters>13290</Characters>
  <Application>Microsoft Office Word</Application>
  <DocSecurity>0</DocSecurity>
  <Lines>201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Afraa Alteneiji</dc:creator>
  <cp:keywords>[XYZZYpublic]</cp:keywords>
  <cp:lastModifiedBy>Muhammed Arshad</cp:lastModifiedBy>
  <cp:revision>2</cp:revision>
  <cp:lastPrinted>2025-10-13T08:07:00Z</cp:lastPrinted>
  <dcterms:created xsi:type="dcterms:W3CDTF">2025-10-14T08:15:00Z</dcterms:created>
  <dcterms:modified xsi:type="dcterms:W3CDTF">2025-10-14T08:15:00Z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0x01010082286E3A5CC5FE41A95D803EB0D36F5C</vt:lpwstr>
  </property>
  <property fmtid="{D5CDD505-2E9C-101B-9397-08002B2CF9AE}" pid="3" name="docIndexRef">
    <vt:lpwstr>a0b8a3b8-b13c-421d-a074-094562e38f51</vt:lpwstr>
  </property>
  <property fmtid="{D5CDD505-2E9C-101B-9397-08002B2CF9AE}" pid="4" name="bjSaver">
    <vt:lpwstr>G9VgjxoouoEgLCOElp+zj8o17UuJFkHs</vt:lpwstr>
  </property>
  <property fmtid="{D5CDD505-2E9C-101B-9397-08002B2CF9AE}" pid="5" name="bjDocumentLabelXML">
    <vt:lpwstr>&lt;?xml version="1.0" encoding="us-ascii"?&gt;&lt;sisl xmlns:xsd="http://www.w3.org/2001/XMLSchema" xmlns:xsi="http://www.w3.org/2001/XMLSchema-instance" sislVersion="0" policy="fb589ca4-3662-40b4-a29d-643516eb67b4"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Public</vt:lpwstr>
  </property>
  <property fmtid="{D5CDD505-2E9C-101B-9397-08002B2CF9AE}" pid="8" name="bjClsUserRVM">
    <vt:lpwstr>[]</vt:lpwstr>
  </property>
  <property fmtid="{D5CDD505-2E9C-101B-9397-08002B2CF9AE}" pid="9" name="bjHeaderBothDocProperty">
    <vt:lpwstr>Public</vt:lpwstr>
  </property>
  <property fmtid="{D5CDD505-2E9C-101B-9397-08002B2CF9AE}" pid="10" name="bjHeaderFirstPageDocProperty">
    <vt:lpwstr>Public</vt:lpwstr>
  </property>
  <property fmtid="{D5CDD505-2E9C-101B-9397-08002B2CF9AE}" pid="11" name="bjHeaderEvenPageDocProperty">
    <vt:lpwstr>Public</vt:lpwstr>
  </property>
  <property fmtid="{D5CDD505-2E9C-101B-9397-08002B2CF9AE}" pid="12" name="bjFooterBothDocProperty">
    <vt:lpwstr>Public</vt:lpwstr>
  </property>
  <property fmtid="{D5CDD505-2E9C-101B-9397-08002B2CF9AE}" pid="13" name="bjFooterFirstPageDocProperty">
    <vt:lpwstr>Public</vt:lpwstr>
  </property>
  <property fmtid="{D5CDD505-2E9C-101B-9397-08002B2CF9AE}" pid="14" name="bjFooterEvenPageDocProperty">
    <vt:lpwstr>Public</vt:lpwstr>
  </property>
</Properties>
</file>